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A1129">
      <w:pPr>
        <w:spacing w:line="480" w:lineRule="auto"/>
        <w:jc w:val="center"/>
        <w:rPr>
          <w:rFonts w:ascii="楷体_GB2312" w:eastAsia="楷体_GB2312" w:hAnsi="楷体_GB2312" w:cs="楷体_GB2312"/>
          <w:b/>
          <w:sz w:val="36"/>
          <w:szCs w:val="36"/>
        </w:rPr>
      </w:pPr>
      <w:r>
        <w:rPr>
          <w:rFonts w:ascii="楷体_GB2312" w:eastAsia="楷体_GB2312" w:hAnsi="楷体_GB2312" w:cs="楷体_GB2312" w:hint="eastAsia"/>
          <w:b/>
          <w:sz w:val="36"/>
          <w:szCs w:val="36"/>
        </w:rPr>
        <w:t>第一部分</w:t>
      </w:r>
      <w:r>
        <w:rPr>
          <w:rFonts w:ascii="楷体_GB2312" w:eastAsia="楷体_GB2312" w:hAnsi="楷体_GB2312" w:cs="楷体_GB2312" w:hint="eastAsia"/>
          <w:b/>
          <w:sz w:val="36"/>
          <w:szCs w:val="36"/>
        </w:rPr>
        <w:t xml:space="preserve">  </w:t>
      </w:r>
      <w:r>
        <w:rPr>
          <w:rFonts w:ascii="楷体_GB2312" w:eastAsia="楷体_GB2312" w:hAnsi="楷体_GB2312" w:cs="楷体_GB2312" w:hint="eastAsia"/>
          <w:b/>
          <w:sz w:val="36"/>
          <w:szCs w:val="36"/>
        </w:rPr>
        <w:t>毕业生就业基本情况</w:t>
      </w:r>
    </w:p>
    <w:p w:rsidR="00000000" w:rsidRDefault="009A1129">
      <w:pPr>
        <w:pStyle w:val="ab"/>
        <w:numPr>
          <w:ilvl w:val="0"/>
          <w:numId w:val="1"/>
        </w:numPr>
        <w:spacing w:line="480" w:lineRule="auto"/>
        <w:ind w:firstLineChars="0"/>
        <w:rPr>
          <w:rFonts w:ascii="楷体_GB2312" w:eastAsia="楷体_GB2312" w:hAnsi="楷体_GB2312" w:cs="楷体_GB2312"/>
          <w:b/>
          <w:sz w:val="32"/>
          <w:szCs w:val="32"/>
        </w:rPr>
      </w:pPr>
      <w:r>
        <w:rPr>
          <w:rFonts w:ascii="楷体_GB2312" w:eastAsia="楷体_GB2312" w:hAnsi="楷体_GB2312" w:cs="楷体_GB2312" w:hint="eastAsia"/>
          <w:b/>
          <w:sz w:val="32"/>
          <w:szCs w:val="32"/>
        </w:rPr>
        <w:t>毕业生人数</w:t>
      </w:r>
    </w:p>
    <w:p w:rsidR="00000000" w:rsidRDefault="009A1129">
      <w:pPr>
        <w:spacing w:line="480" w:lineRule="auto"/>
        <w:ind w:leftChars="200" w:left="420" w:firstLineChars="200" w:firstLine="560"/>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届毕业生共</w:t>
      </w:r>
      <w:r>
        <w:rPr>
          <w:rFonts w:ascii="楷体_GB2312" w:eastAsia="楷体_GB2312" w:hAnsi="楷体_GB2312" w:cs="楷体_GB2312" w:hint="eastAsia"/>
          <w:sz w:val="28"/>
          <w:szCs w:val="28"/>
        </w:rPr>
        <w:t>1811</w:t>
      </w:r>
      <w:r>
        <w:rPr>
          <w:rFonts w:ascii="楷体_GB2312" w:eastAsia="楷体_GB2312" w:hAnsi="楷体_GB2312" w:cs="楷体_GB2312" w:hint="eastAsia"/>
          <w:sz w:val="28"/>
          <w:szCs w:val="28"/>
        </w:rPr>
        <w:t>人，其中四年制本科生</w:t>
      </w:r>
      <w:r>
        <w:rPr>
          <w:rFonts w:ascii="楷体_GB2312" w:eastAsia="楷体_GB2312" w:hAnsi="楷体_GB2312" w:cs="楷体_GB2312" w:hint="eastAsia"/>
          <w:sz w:val="28"/>
          <w:szCs w:val="28"/>
        </w:rPr>
        <w:t>1404</w:t>
      </w:r>
      <w:r>
        <w:rPr>
          <w:rFonts w:ascii="楷体_GB2312" w:eastAsia="楷体_GB2312" w:hAnsi="楷体_GB2312" w:cs="楷体_GB2312" w:hint="eastAsia"/>
          <w:sz w:val="28"/>
          <w:szCs w:val="28"/>
        </w:rPr>
        <w:t>人，五年制本科生</w:t>
      </w:r>
      <w:r>
        <w:rPr>
          <w:rFonts w:ascii="楷体_GB2312" w:eastAsia="楷体_GB2312" w:hAnsi="楷体_GB2312" w:cs="楷体_GB2312" w:hint="eastAsia"/>
          <w:sz w:val="28"/>
          <w:szCs w:val="28"/>
        </w:rPr>
        <w:t>407</w:t>
      </w:r>
      <w:r>
        <w:rPr>
          <w:rFonts w:ascii="楷体_GB2312" w:eastAsia="楷体_GB2312" w:hAnsi="楷体_GB2312" w:cs="楷体_GB2312" w:hint="eastAsia"/>
          <w:sz w:val="28"/>
          <w:szCs w:val="28"/>
        </w:rPr>
        <w:t>人。</w:t>
      </w:r>
    </w:p>
    <w:p w:rsidR="00000000" w:rsidRDefault="009A1129">
      <w:pPr>
        <w:pStyle w:val="ab"/>
        <w:spacing w:line="480" w:lineRule="auto"/>
        <w:ind w:left="420" w:firstLineChars="0" w:firstLine="0"/>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二、毕业生的结构组成</w:t>
      </w:r>
    </w:p>
    <w:p w:rsidR="00000000" w:rsidRDefault="009A1129">
      <w:pPr>
        <w:pStyle w:val="ab"/>
        <w:numPr>
          <w:ilvl w:val="0"/>
          <w:numId w:val="2"/>
        </w:numPr>
        <w:spacing w:line="480" w:lineRule="auto"/>
        <w:ind w:firstLineChars="0"/>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各学部毕业生分布情况</w:t>
      </w:r>
    </w:p>
    <w:p w:rsidR="00000000" w:rsidRDefault="009A1129">
      <w:pPr>
        <w:spacing w:line="480" w:lineRule="auto"/>
        <w:ind w:leftChars="200" w:left="420"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届各学部毕业生人数见图</w:t>
      </w:r>
      <w:r>
        <w:rPr>
          <w:rFonts w:ascii="楷体_GB2312" w:eastAsia="楷体_GB2312" w:hAnsi="楷体_GB2312" w:cs="楷体_GB2312" w:hint="eastAsia"/>
          <w:sz w:val="28"/>
          <w:szCs w:val="28"/>
        </w:rPr>
        <w:t>1-</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其中，毕业生人数占比前三位的学部分别是：第一</w:t>
      </w:r>
      <w:r>
        <w:rPr>
          <w:rFonts w:ascii="楷体_GB2312" w:eastAsia="楷体_GB2312" w:hAnsi="楷体_GB2312" w:cs="楷体_GB2312" w:hint="eastAsia"/>
          <w:sz w:val="28"/>
          <w:szCs w:val="28"/>
        </w:rPr>
        <w:t>，医学部（五年制）</w:t>
      </w:r>
      <w:r>
        <w:rPr>
          <w:rFonts w:ascii="楷体_GB2312" w:eastAsia="楷体_GB2312" w:hAnsi="楷体_GB2312" w:cs="楷体_GB2312" w:hint="eastAsia"/>
          <w:sz w:val="28"/>
          <w:szCs w:val="28"/>
        </w:rPr>
        <w:t>407</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23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；第二</w:t>
      </w:r>
      <w:r>
        <w:rPr>
          <w:rFonts w:ascii="楷体_GB2312" w:eastAsia="楷体_GB2312" w:hAnsi="楷体_GB2312" w:cs="楷体_GB2312" w:hint="eastAsia"/>
          <w:sz w:val="28"/>
          <w:szCs w:val="28"/>
        </w:rPr>
        <w:t>，工</w:t>
      </w:r>
      <w:r>
        <w:rPr>
          <w:rFonts w:ascii="楷体_GB2312" w:eastAsia="楷体_GB2312" w:hAnsi="楷体_GB2312" w:cs="楷体_GB2312" w:hint="eastAsia"/>
          <w:sz w:val="28"/>
          <w:szCs w:val="28"/>
        </w:rPr>
        <w:t>程学部</w:t>
      </w:r>
      <w:r>
        <w:rPr>
          <w:rFonts w:ascii="楷体_GB2312" w:eastAsia="楷体_GB2312" w:hAnsi="楷体_GB2312" w:cs="楷体_GB2312" w:hint="eastAsia"/>
          <w:sz w:val="28"/>
          <w:szCs w:val="28"/>
        </w:rPr>
        <w:t>346</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19</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；第三</w:t>
      </w:r>
      <w:r>
        <w:rPr>
          <w:rFonts w:ascii="楷体_GB2312" w:eastAsia="楷体_GB2312" w:hAnsi="楷体_GB2312" w:cs="楷体_GB2312" w:hint="eastAsia"/>
          <w:sz w:val="28"/>
          <w:szCs w:val="28"/>
        </w:rPr>
        <w:t>，医学部（</w:t>
      </w:r>
      <w:r>
        <w:rPr>
          <w:rFonts w:ascii="楷体_GB2312" w:eastAsia="楷体_GB2312" w:hAnsi="楷体_GB2312" w:cs="楷体_GB2312" w:hint="eastAsia"/>
          <w:sz w:val="28"/>
          <w:szCs w:val="28"/>
        </w:rPr>
        <w:t>四</w:t>
      </w:r>
      <w:r>
        <w:rPr>
          <w:rFonts w:ascii="楷体_GB2312" w:eastAsia="楷体_GB2312" w:hAnsi="楷体_GB2312" w:cs="楷体_GB2312" w:hint="eastAsia"/>
          <w:sz w:val="28"/>
          <w:szCs w:val="28"/>
        </w:rPr>
        <w:t>年制）</w:t>
      </w:r>
      <w:r>
        <w:rPr>
          <w:rFonts w:ascii="楷体_GB2312" w:eastAsia="楷体_GB2312" w:hAnsi="楷体_GB2312" w:cs="楷体_GB2312" w:hint="eastAsia"/>
          <w:sz w:val="28"/>
          <w:szCs w:val="28"/>
        </w:rPr>
        <w:t>242</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13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p w:rsidR="00000000" w:rsidRDefault="006666D3">
      <w:pPr>
        <w:spacing w:line="480" w:lineRule="auto"/>
        <w:ind w:leftChars="200" w:left="420" w:firstLineChars="200" w:firstLine="420"/>
        <w:jc w:val="left"/>
        <w:rPr>
          <w:rFonts w:ascii="楷体_GB2312" w:eastAsia="楷体_GB2312" w:hAnsi="楷体_GB2312" w:cs="楷体_GB2312"/>
          <w:sz w:val="28"/>
          <w:szCs w:val="28"/>
        </w:rPr>
      </w:pPr>
      <w:r>
        <w:rPr>
          <w:noProof/>
        </w:rPr>
        <w:drawing>
          <wp:inline distT="0" distB="0" distL="0" distR="0">
            <wp:extent cx="4572000" cy="2743200"/>
            <wp:effectExtent l="4445" t="4445" r="14605" b="14605"/>
            <wp:docPr id="1"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00000" w:rsidRDefault="009A1129">
      <w:pPr>
        <w:spacing w:line="480" w:lineRule="auto"/>
        <w:jc w:val="center"/>
        <w:rPr>
          <w:rFonts w:ascii="楷体_GB2312" w:eastAsia="楷体_GB2312" w:hAnsi="楷体_GB2312" w:cs="楷体_GB2312" w:hint="eastAsia"/>
          <w:b/>
          <w:sz w:val="28"/>
          <w:szCs w:val="28"/>
        </w:rPr>
      </w:pPr>
      <w:r>
        <w:rPr>
          <w:rFonts w:ascii="楷体_GB2312" w:eastAsia="楷体_GB2312" w:hAnsi="楷体_GB2312" w:cs="楷体_GB2312" w:hint="eastAsia"/>
          <w:b/>
          <w:sz w:val="28"/>
          <w:szCs w:val="28"/>
        </w:rPr>
        <w:t>图</w:t>
      </w:r>
      <w:r>
        <w:rPr>
          <w:rFonts w:ascii="楷体_GB2312" w:eastAsia="楷体_GB2312" w:hAnsi="楷体_GB2312" w:cs="楷体_GB2312" w:hint="eastAsia"/>
          <w:b/>
          <w:sz w:val="28"/>
          <w:szCs w:val="28"/>
        </w:rPr>
        <w:t>1-</w:t>
      </w:r>
      <w:r>
        <w:rPr>
          <w:rFonts w:ascii="楷体_GB2312" w:eastAsia="楷体_GB2312" w:hAnsi="楷体_GB2312" w:cs="楷体_GB2312" w:hint="eastAsia"/>
          <w:b/>
          <w:sz w:val="28"/>
          <w:szCs w:val="28"/>
        </w:rPr>
        <w:t>2</w:t>
      </w:r>
      <w:r>
        <w:rPr>
          <w:rFonts w:ascii="楷体_GB2312" w:eastAsia="楷体_GB2312" w:hAnsi="楷体_GB2312" w:cs="楷体_GB2312" w:hint="eastAsia"/>
          <w:b/>
          <w:sz w:val="28"/>
          <w:szCs w:val="28"/>
        </w:rPr>
        <w:t xml:space="preserve"> 201</w:t>
      </w:r>
      <w:r>
        <w:rPr>
          <w:rFonts w:ascii="楷体_GB2312" w:eastAsia="楷体_GB2312" w:hAnsi="楷体_GB2312" w:cs="楷体_GB2312" w:hint="eastAsia"/>
          <w:b/>
          <w:sz w:val="28"/>
          <w:szCs w:val="28"/>
        </w:rPr>
        <w:t>7</w:t>
      </w:r>
      <w:r>
        <w:rPr>
          <w:rFonts w:ascii="楷体_GB2312" w:eastAsia="楷体_GB2312" w:hAnsi="楷体_GB2312" w:cs="楷体_GB2312" w:hint="eastAsia"/>
          <w:b/>
          <w:sz w:val="28"/>
          <w:szCs w:val="28"/>
        </w:rPr>
        <w:t>届各学部毕业生分布情况</w:t>
      </w:r>
    </w:p>
    <w:p w:rsidR="00000000" w:rsidRDefault="009A1129">
      <w:pPr>
        <w:spacing w:line="480" w:lineRule="auto"/>
        <w:jc w:val="center"/>
        <w:rPr>
          <w:rFonts w:ascii="楷体_GB2312" w:eastAsia="楷体_GB2312" w:hAnsi="楷体_GB2312" w:cs="楷体_GB2312" w:hint="eastAsia"/>
          <w:b/>
          <w:sz w:val="28"/>
          <w:szCs w:val="28"/>
        </w:rPr>
      </w:pPr>
    </w:p>
    <w:p w:rsidR="00000000" w:rsidRDefault="009A1129">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二</w:t>
      </w: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毕业生的性别结构</w:t>
      </w:r>
    </w:p>
    <w:p w:rsidR="00000000" w:rsidRDefault="009A1129">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届毕业生中，男生</w:t>
      </w:r>
      <w:r>
        <w:rPr>
          <w:rFonts w:ascii="楷体_GB2312" w:eastAsia="楷体_GB2312" w:hAnsi="楷体_GB2312" w:cs="楷体_GB2312" w:hint="eastAsia"/>
          <w:sz w:val="28"/>
          <w:szCs w:val="28"/>
        </w:rPr>
        <w:t>736</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40.64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；女生</w:t>
      </w:r>
      <w:r>
        <w:rPr>
          <w:rFonts w:ascii="楷体_GB2312" w:eastAsia="楷体_GB2312" w:hAnsi="楷体_GB2312" w:cs="楷体_GB2312" w:hint="eastAsia"/>
          <w:sz w:val="28"/>
          <w:szCs w:val="28"/>
        </w:rPr>
        <w:t>1075</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59.36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。男女生性别比为</w:t>
      </w:r>
      <w:r>
        <w:rPr>
          <w:rFonts w:ascii="楷体_GB2312" w:eastAsia="楷体_GB2312" w:hAnsi="楷体_GB2312" w:cs="楷体_GB2312" w:hint="eastAsia"/>
          <w:sz w:val="28"/>
          <w:szCs w:val="28"/>
        </w:rPr>
        <w:t>1:1.</w:t>
      </w:r>
      <w:r>
        <w:rPr>
          <w:rFonts w:ascii="楷体_GB2312" w:eastAsia="楷体_GB2312" w:hAnsi="楷体_GB2312" w:cs="楷体_GB2312" w:hint="eastAsia"/>
          <w:sz w:val="28"/>
          <w:szCs w:val="28"/>
        </w:rPr>
        <w:t>46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w:t>
      </w:r>
      <w:r>
        <w:rPr>
          <w:rFonts w:ascii="楷体_GB2312" w:eastAsia="楷体_GB2312" w:hAnsi="楷体_GB2312" w:cs="楷体_GB2312" w:hint="eastAsia"/>
          <w:sz w:val="28"/>
          <w:szCs w:val="28"/>
        </w:rPr>
        <w:lastRenderedPageBreak/>
        <w:t>图</w:t>
      </w:r>
      <w:r>
        <w:rPr>
          <w:rFonts w:ascii="楷体_GB2312" w:eastAsia="楷体_GB2312" w:hAnsi="楷体_GB2312" w:cs="楷体_GB2312" w:hint="eastAsia"/>
          <w:sz w:val="28"/>
          <w:szCs w:val="28"/>
        </w:rPr>
        <w:t>1-</w:t>
      </w:r>
      <w:r>
        <w:rPr>
          <w:rFonts w:ascii="楷体_GB2312" w:eastAsia="楷体_GB2312" w:hAnsi="楷体_GB2312" w:cs="楷体_GB2312" w:hint="eastAsia"/>
          <w:sz w:val="28"/>
          <w:szCs w:val="28"/>
        </w:rPr>
        <w:t>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p w:rsidR="00000000" w:rsidRDefault="006666D3">
      <w:pPr>
        <w:spacing w:line="480" w:lineRule="auto"/>
        <w:jc w:val="center"/>
        <w:rPr>
          <w:rFonts w:ascii="楷体_GB2312" w:eastAsia="楷体_GB2312" w:hAnsi="楷体_GB2312" w:cs="楷体_GB2312"/>
          <w:sz w:val="28"/>
          <w:szCs w:val="28"/>
        </w:rPr>
      </w:pPr>
      <w:r>
        <w:rPr>
          <w:noProof/>
        </w:rPr>
        <w:drawing>
          <wp:inline distT="0" distB="0" distL="0" distR="0">
            <wp:extent cx="4572000" cy="2743200"/>
            <wp:effectExtent l="4445" t="4445" r="14605" b="14605"/>
            <wp:docPr id="4"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00000" w:rsidRDefault="009A1129">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w:t>
      </w:r>
      <w:r>
        <w:rPr>
          <w:rFonts w:ascii="楷体_GB2312" w:eastAsia="楷体_GB2312" w:hAnsi="楷体_GB2312" w:cs="楷体_GB2312" w:hint="eastAsia"/>
          <w:b/>
          <w:bCs/>
          <w:sz w:val="28"/>
          <w:szCs w:val="28"/>
        </w:rPr>
        <w:t>3</w:t>
      </w:r>
      <w:r>
        <w:rPr>
          <w:rFonts w:ascii="楷体_GB2312" w:eastAsia="楷体_GB2312" w:hAnsi="楷体_GB2312" w:cs="楷体_GB2312" w:hint="eastAsia"/>
          <w:b/>
          <w:bCs/>
          <w:sz w:val="28"/>
          <w:szCs w:val="28"/>
        </w:rPr>
        <w:t xml:space="preserve">  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届毕业生男女生性别比例</w:t>
      </w:r>
    </w:p>
    <w:p w:rsidR="00000000" w:rsidRDefault="009A1129">
      <w:pPr>
        <w:spacing w:line="480" w:lineRule="auto"/>
        <w:jc w:val="center"/>
        <w:rPr>
          <w:rFonts w:ascii="楷体_GB2312" w:eastAsia="楷体_GB2312" w:hAnsi="楷体_GB2312" w:cs="楷体_GB2312" w:hint="eastAsia"/>
          <w:b/>
          <w:bCs/>
          <w:sz w:val="28"/>
          <w:szCs w:val="28"/>
        </w:rPr>
      </w:pPr>
    </w:p>
    <w:p w:rsidR="00000000" w:rsidRDefault="009A1129">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（三）毕业生的生源地分布</w:t>
      </w:r>
    </w:p>
    <w:p w:rsidR="00000000" w:rsidRDefault="009A1129">
      <w:pPr>
        <w:spacing w:line="480" w:lineRule="auto"/>
        <w:ind w:firstLineChars="200" w:firstLine="560"/>
        <w:jc w:val="left"/>
        <w:rPr>
          <w:rFonts w:ascii="楷体_GB2312" w:eastAsia="楷体_GB2312" w:hAnsi="楷体_GB2312" w:cs="楷体_GB2312" w:hint="eastAsia"/>
          <w:b/>
          <w:bCs/>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届毕业生来源于</w:t>
      </w:r>
      <w:r>
        <w:rPr>
          <w:rFonts w:ascii="楷体_GB2312" w:eastAsia="楷体_GB2312" w:hAnsi="楷体_GB2312" w:cs="楷体_GB2312" w:hint="eastAsia"/>
          <w:sz w:val="28"/>
          <w:szCs w:val="28"/>
        </w:rPr>
        <w:t>13</w:t>
      </w:r>
      <w:r>
        <w:rPr>
          <w:rFonts w:ascii="楷体_GB2312" w:eastAsia="楷体_GB2312" w:hAnsi="楷体_GB2312" w:cs="楷体_GB2312" w:hint="eastAsia"/>
          <w:sz w:val="28"/>
          <w:szCs w:val="28"/>
        </w:rPr>
        <w:t>个省、市，主要分布在江苏省，人数达到</w:t>
      </w:r>
      <w:r>
        <w:rPr>
          <w:rFonts w:ascii="楷体_GB2312" w:eastAsia="楷体_GB2312" w:hAnsi="楷体_GB2312" w:cs="楷体_GB2312" w:hint="eastAsia"/>
          <w:sz w:val="28"/>
          <w:szCs w:val="28"/>
        </w:rPr>
        <w:t>1555</w:t>
      </w:r>
      <w:r>
        <w:rPr>
          <w:rFonts w:ascii="楷体_GB2312" w:eastAsia="楷体_GB2312" w:hAnsi="楷体_GB2312" w:cs="楷体_GB2312" w:hint="eastAsia"/>
          <w:sz w:val="28"/>
          <w:szCs w:val="28"/>
        </w:rPr>
        <w:t>人，占比</w:t>
      </w:r>
      <w:r>
        <w:rPr>
          <w:rFonts w:ascii="楷体_GB2312" w:eastAsia="楷体_GB2312" w:hAnsi="楷体_GB2312" w:cs="楷体_GB2312" w:hint="eastAsia"/>
          <w:sz w:val="28"/>
          <w:szCs w:val="28"/>
        </w:rPr>
        <w:t>85.86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。其他省份人数为</w:t>
      </w:r>
      <w:r>
        <w:rPr>
          <w:rFonts w:ascii="楷体_GB2312" w:eastAsia="楷体_GB2312" w:hAnsi="楷体_GB2312" w:cs="楷体_GB2312" w:hint="eastAsia"/>
          <w:sz w:val="28"/>
          <w:szCs w:val="28"/>
        </w:rPr>
        <w:t>256</w:t>
      </w:r>
      <w:r>
        <w:rPr>
          <w:rFonts w:ascii="楷体_GB2312" w:eastAsia="楷体_GB2312" w:hAnsi="楷体_GB2312" w:cs="楷体_GB2312" w:hint="eastAsia"/>
          <w:sz w:val="28"/>
          <w:szCs w:val="28"/>
        </w:rPr>
        <w:t>人，占比</w:t>
      </w:r>
      <w:r>
        <w:rPr>
          <w:rFonts w:ascii="楷体_GB2312" w:eastAsia="楷体_GB2312" w:hAnsi="楷体_GB2312" w:cs="楷体_GB2312" w:hint="eastAsia"/>
          <w:sz w:val="28"/>
          <w:szCs w:val="28"/>
        </w:rPr>
        <w:t>14.14%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见表</w:t>
      </w:r>
      <w:r>
        <w:rPr>
          <w:rFonts w:ascii="楷体_GB2312" w:eastAsia="楷体_GB2312" w:hAnsi="楷体_GB2312" w:cs="楷体_GB2312" w:hint="eastAsia"/>
          <w:sz w:val="28"/>
          <w:szCs w:val="28"/>
        </w:rPr>
        <w:t>1-</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p w:rsidR="00000000" w:rsidRDefault="009A1129">
      <w:pPr>
        <w:spacing w:line="480" w:lineRule="auto"/>
        <w:ind w:firstLineChars="200" w:firstLine="562"/>
        <w:jc w:val="center"/>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w:t>
      </w:r>
      <w:r>
        <w:rPr>
          <w:rFonts w:ascii="楷体_GB2312" w:eastAsia="楷体_GB2312" w:hAnsi="楷体_GB2312" w:cs="楷体_GB2312" w:hint="eastAsia"/>
          <w:b/>
          <w:bCs/>
          <w:sz w:val="28"/>
          <w:szCs w:val="28"/>
        </w:rPr>
        <w:t>2</w:t>
      </w:r>
      <w:r>
        <w:rPr>
          <w:rFonts w:ascii="楷体_GB2312" w:eastAsia="楷体_GB2312" w:hAnsi="楷体_GB2312" w:cs="楷体_GB2312" w:hint="eastAsia"/>
          <w:b/>
          <w:bCs/>
          <w:sz w:val="28"/>
          <w:szCs w:val="28"/>
        </w:rPr>
        <w:t xml:space="preserve">  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届毕业生生源地分布情况统计表</w:t>
      </w:r>
    </w:p>
    <w:tbl>
      <w:tblPr>
        <w:tblW w:w="0" w:type="auto"/>
        <w:tblInd w:w="1022" w:type="dxa"/>
        <w:tblLayout w:type="fixed"/>
        <w:tblLook w:val="0000"/>
      </w:tblPr>
      <w:tblGrid>
        <w:gridCol w:w="3423"/>
        <w:gridCol w:w="3644"/>
      </w:tblGrid>
      <w:tr w:rsidR="00000000">
        <w:trPr>
          <w:trHeight w:val="285"/>
          <w:tblHeader/>
        </w:trPr>
        <w:tc>
          <w:tcPr>
            <w:tcW w:w="3423" w:type="dxa"/>
            <w:tcBorders>
              <w:top w:val="single" w:sz="8" w:space="0" w:color="FFFFFF"/>
              <w:left w:val="single" w:sz="8" w:space="0" w:color="FFFFFF"/>
              <w:bottom w:val="single" w:sz="8" w:space="0" w:color="FFFFFF"/>
              <w:right w:val="single" w:sz="8" w:space="0" w:color="FFFFFF"/>
            </w:tcBorders>
            <w:shd w:val="clear" w:color="000000" w:fill="8DB3E2"/>
            <w:vAlign w:val="center"/>
          </w:tcPr>
          <w:p w:rsidR="00000000" w:rsidRDefault="009A1129">
            <w:pPr>
              <w:widowControl/>
              <w:spacing w:line="320" w:lineRule="exact"/>
              <w:jc w:val="center"/>
              <w:rPr>
                <w:rFonts w:ascii="Calibri" w:hAnsi="Calibri"/>
                <w:b/>
                <w:bCs/>
                <w:color w:val="000000"/>
                <w:kern w:val="0"/>
                <w:sz w:val="20"/>
                <w:szCs w:val="20"/>
              </w:rPr>
            </w:pPr>
            <w:r>
              <w:rPr>
                <w:rFonts w:ascii="Calibri" w:hAnsi="Calibri"/>
                <w:b/>
                <w:bCs/>
                <w:color w:val="000000"/>
                <w:sz w:val="20"/>
                <w:szCs w:val="20"/>
              </w:rPr>
              <w:t>生源地</w:t>
            </w:r>
          </w:p>
        </w:tc>
        <w:tc>
          <w:tcPr>
            <w:tcW w:w="3644" w:type="dxa"/>
            <w:tcBorders>
              <w:top w:val="single" w:sz="8" w:space="0" w:color="FFFFFF"/>
              <w:left w:val="nil"/>
              <w:bottom w:val="single" w:sz="8" w:space="0" w:color="FFFFFF"/>
              <w:right w:val="single" w:sz="8" w:space="0" w:color="FFFFFF"/>
            </w:tcBorders>
            <w:shd w:val="clear" w:color="000000" w:fill="8DB3E2"/>
            <w:vAlign w:val="center"/>
          </w:tcPr>
          <w:p w:rsidR="00000000" w:rsidRDefault="009A1129">
            <w:pPr>
              <w:spacing w:line="320" w:lineRule="exact"/>
              <w:jc w:val="center"/>
              <w:rPr>
                <w:rFonts w:ascii="Calibri" w:hAnsi="Calibri"/>
                <w:b/>
                <w:bCs/>
                <w:color w:val="000000"/>
                <w:sz w:val="20"/>
                <w:szCs w:val="20"/>
              </w:rPr>
            </w:pPr>
            <w:r>
              <w:rPr>
                <w:rFonts w:ascii="Calibri" w:hAnsi="Calibri"/>
                <w:b/>
                <w:bCs/>
                <w:color w:val="000000"/>
                <w:sz w:val="20"/>
                <w:szCs w:val="20"/>
              </w:rPr>
              <w:t>本科生人数（人）及所占比例（</w:t>
            </w:r>
            <w:r>
              <w:rPr>
                <w:rFonts w:ascii="Calibri" w:hAnsi="Calibri"/>
                <w:b/>
                <w:bCs/>
                <w:color w:val="000000"/>
                <w:sz w:val="20"/>
                <w:szCs w:val="20"/>
              </w:rPr>
              <w:t>%</w:t>
            </w:r>
            <w:r>
              <w:rPr>
                <w:rFonts w:ascii="Calibri" w:hAnsi="Calibri"/>
                <w:b/>
                <w:bCs/>
                <w:color w:val="000000"/>
                <w:sz w:val="20"/>
                <w:szCs w:val="20"/>
              </w:rPr>
              <w:t>）</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江苏</w:t>
            </w:r>
          </w:p>
        </w:tc>
        <w:tc>
          <w:tcPr>
            <w:tcW w:w="364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1555 (85.86%)</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浙江</w:t>
            </w:r>
          </w:p>
        </w:tc>
        <w:tc>
          <w:tcPr>
            <w:tcW w:w="364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65 (3.59%)</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安徽</w:t>
            </w:r>
          </w:p>
        </w:tc>
        <w:tc>
          <w:tcPr>
            <w:tcW w:w="364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51 (2.82%)</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上海</w:t>
            </w:r>
          </w:p>
        </w:tc>
        <w:tc>
          <w:tcPr>
            <w:tcW w:w="364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27 (1.49%)</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广西</w:t>
            </w:r>
          </w:p>
        </w:tc>
        <w:tc>
          <w:tcPr>
            <w:tcW w:w="364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24 (1.33%)</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四川</w:t>
            </w:r>
          </w:p>
        </w:tc>
        <w:tc>
          <w:tcPr>
            <w:tcW w:w="364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20 (1.10%)</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福建</w:t>
            </w:r>
          </w:p>
        </w:tc>
        <w:tc>
          <w:tcPr>
            <w:tcW w:w="364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20 (1.10%)</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甘肃</w:t>
            </w:r>
          </w:p>
        </w:tc>
        <w:tc>
          <w:tcPr>
            <w:tcW w:w="364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19 (1.04%)</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山西</w:t>
            </w:r>
          </w:p>
        </w:tc>
        <w:tc>
          <w:tcPr>
            <w:tcW w:w="364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 (0.55%)</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山东</w:t>
            </w:r>
          </w:p>
        </w:tc>
        <w:tc>
          <w:tcPr>
            <w:tcW w:w="364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 (0.50%)</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重庆</w:t>
            </w:r>
          </w:p>
        </w:tc>
        <w:tc>
          <w:tcPr>
            <w:tcW w:w="364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 (0.44%)</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黑龙江</w:t>
            </w:r>
          </w:p>
        </w:tc>
        <w:tc>
          <w:tcPr>
            <w:tcW w:w="364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 (0.06%)</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lastRenderedPageBreak/>
              <w:t>广东</w:t>
            </w:r>
          </w:p>
        </w:tc>
        <w:tc>
          <w:tcPr>
            <w:tcW w:w="364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 (0.06%)</w:t>
            </w:r>
          </w:p>
        </w:tc>
      </w:tr>
      <w:tr w:rsidR="00000000">
        <w:trPr>
          <w:trHeight w:val="285"/>
        </w:trPr>
        <w:tc>
          <w:tcPr>
            <w:tcW w:w="3423" w:type="dxa"/>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湖北</w:t>
            </w:r>
          </w:p>
        </w:tc>
        <w:tc>
          <w:tcPr>
            <w:tcW w:w="364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 (0.06%)</w:t>
            </w:r>
          </w:p>
        </w:tc>
      </w:tr>
    </w:tbl>
    <w:p w:rsidR="00000000" w:rsidRDefault="009A1129">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我院江苏生源主要分布在南通、苏州、宿迁、盐城、无锡</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泰州、</w:t>
      </w:r>
      <w:r>
        <w:rPr>
          <w:rFonts w:ascii="楷体_GB2312" w:eastAsia="楷体_GB2312" w:hAnsi="楷体_GB2312" w:cs="楷体_GB2312" w:hint="eastAsia"/>
          <w:sz w:val="28"/>
          <w:szCs w:val="28"/>
        </w:rPr>
        <w:t>扬州</w:t>
      </w:r>
      <w:r>
        <w:rPr>
          <w:rFonts w:ascii="楷体_GB2312" w:eastAsia="楷体_GB2312" w:hAnsi="楷体_GB2312" w:cs="楷体_GB2312" w:hint="eastAsia"/>
          <w:sz w:val="28"/>
          <w:szCs w:val="28"/>
        </w:rPr>
        <w:t>等地</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见表</w:t>
      </w:r>
      <w:r>
        <w:rPr>
          <w:rFonts w:ascii="楷体_GB2312" w:eastAsia="楷体_GB2312" w:hAnsi="楷体_GB2312" w:cs="楷体_GB2312" w:hint="eastAsia"/>
          <w:sz w:val="28"/>
          <w:szCs w:val="28"/>
        </w:rPr>
        <w:t>1</w:t>
      </w:r>
      <w:r>
        <w:rPr>
          <w:rFonts w:ascii="楷体_GB2312" w:eastAsia="楷体_GB2312" w:hAnsi="楷体_GB2312" w:cs="楷体_GB2312" w:hint="eastAsia"/>
          <w:sz w:val="28"/>
          <w:szCs w:val="28"/>
        </w:rPr>
        <w:t>-3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p w:rsidR="00000000" w:rsidRDefault="009A1129">
      <w:pPr>
        <w:spacing w:line="480" w:lineRule="auto"/>
        <w:jc w:val="center"/>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t>表</w:t>
      </w:r>
      <w:r>
        <w:rPr>
          <w:rFonts w:ascii="楷体_GB2312" w:eastAsia="楷体_GB2312" w:hAnsi="楷体_GB2312" w:cs="楷体_GB2312" w:hint="eastAsia"/>
          <w:b/>
          <w:bCs/>
          <w:sz w:val="28"/>
          <w:szCs w:val="28"/>
        </w:rPr>
        <w:t>1-</w:t>
      </w:r>
      <w:r>
        <w:rPr>
          <w:rFonts w:ascii="楷体_GB2312" w:eastAsia="楷体_GB2312" w:hAnsi="楷体_GB2312" w:cs="楷体_GB2312" w:hint="eastAsia"/>
          <w:b/>
          <w:bCs/>
          <w:sz w:val="28"/>
          <w:szCs w:val="28"/>
        </w:rPr>
        <w:t>3</w:t>
      </w:r>
      <w:r>
        <w:rPr>
          <w:rFonts w:ascii="楷体_GB2312" w:eastAsia="楷体_GB2312" w:hAnsi="楷体_GB2312" w:cs="楷体_GB2312" w:hint="eastAsia"/>
          <w:b/>
          <w:bCs/>
          <w:sz w:val="28"/>
          <w:szCs w:val="28"/>
        </w:rPr>
        <w:t xml:space="preserve">  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届毕业生江苏生源分布情况统计表</w:t>
      </w:r>
    </w:p>
    <w:tbl>
      <w:tblPr>
        <w:tblW w:w="0" w:type="auto"/>
        <w:jc w:val="center"/>
        <w:tblInd w:w="0" w:type="dxa"/>
        <w:tblLayout w:type="fixed"/>
        <w:tblCellMar>
          <w:top w:w="15" w:type="dxa"/>
          <w:left w:w="15" w:type="dxa"/>
          <w:bottom w:w="15" w:type="dxa"/>
          <w:right w:w="15" w:type="dxa"/>
        </w:tblCellMar>
        <w:tblLook w:val="0000"/>
      </w:tblPr>
      <w:tblGrid>
        <w:gridCol w:w="1080"/>
        <w:gridCol w:w="1080"/>
        <w:gridCol w:w="1310"/>
        <w:gridCol w:w="1590"/>
      </w:tblGrid>
      <w:tr w:rsidR="00000000">
        <w:trPr>
          <w:trHeight w:val="450"/>
          <w:jc w:val="center"/>
        </w:trPr>
        <w:tc>
          <w:tcPr>
            <w:tcW w:w="1080" w:type="dxa"/>
            <w:shd w:val="clear" w:color="5B9BD5" w:fill="8DB3E2"/>
            <w:vAlign w:val="center"/>
          </w:tcPr>
          <w:p w:rsidR="00000000" w:rsidRDefault="009A1129">
            <w:pPr>
              <w:widowControl/>
              <w:jc w:val="center"/>
              <w:textAlignment w:val="center"/>
              <w:rPr>
                <w:rFonts w:ascii="Calibri" w:hAnsi="Calibri" w:cs="Calibri"/>
                <w:b/>
                <w:color w:val="000000"/>
                <w:sz w:val="24"/>
                <w:szCs w:val="24"/>
              </w:rPr>
            </w:pPr>
            <w:r>
              <w:rPr>
                <w:rFonts w:ascii="Calibri" w:hAnsi="Calibri" w:cs="Calibri"/>
                <w:b/>
                <w:color w:val="000000"/>
                <w:kern w:val="0"/>
                <w:sz w:val="24"/>
                <w:szCs w:val="24"/>
                <w:lang/>
              </w:rPr>
              <w:t>序号</w:t>
            </w:r>
          </w:p>
        </w:tc>
        <w:tc>
          <w:tcPr>
            <w:tcW w:w="1080" w:type="dxa"/>
            <w:shd w:val="clear" w:color="5B9BD5" w:fill="8DB3E2"/>
            <w:vAlign w:val="center"/>
          </w:tcPr>
          <w:p w:rsidR="00000000" w:rsidRDefault="009A1129">
            <w:pPr>
              <w:widowControl/>
              <w:jc w:val="center"/>
              <w:textAlignment w:val="center"/>
              <w:rPr>
                <w:rFonts w:ascii="Calibri" w:hAnsi="Calibri" w:cs="Calibri"/>
                <w:b/>
                <w:color w:val="000000"/>
                <w:sz w:val="24"/>
                <w:szCs w:val="24"/>
              </w:rPr>
            </w:pPr>
            <w:r>
              <w:rPr>
                <w:rFonts w:ascii="Calibri" w:hAnsi="Calibri" w:cs="Calibri"/>
                <w:b/>
                <w:color w:val="000000"/>
                <w:kern w:val="0"/>
                <w:sz w:val="24"/>
                <w:szCs w:val="24"/>
                <w:lang/>
              </w:rPr>
              <w:t>辖市</w:t>
            </w:r>
          </w:p>
        </w:tc>
        <w:tc>
          <w:tcPr>
            <w:tcW w:w="1310" w:type="dxa"/>
            <w:shd w:val="clear" w:color="5B9BD5" w:fill="8DB3E2"/>
            <w:vAlign w:val="center"/>
          </w:tcPr>
          <w:p w:rsidR="00000000" w:rsidRDefault="009A1129">
            <w:pPr>
              <w:widowControl/>
              <w:jc w:val="center"/>
              <w:textAlignment w:val="center"/>
              <w:rPr>
                <w:rFonts w:ascii="Calibri" w:hAnsi="Calibri" w:cs="Calibri"/>
                <w:b/>
                <w:color w:val="000000"/>
                <w:sz w:val="24"/>
                <w:szCs w:val="24"/>
              </w:rPr>
            </w:pPr>
            <w:r>
              <w:rPr>
                <w:rFonts w:ascii="Calibri" w:hAnsi="Calibri" w:cs="Calibri"/>
                <w:b/>
                <w:color w:val="000000"/>
                <w:kern w:val="0"/>
                <w:sz w:val="24"/>
                <w:szCs w:val="24"/>
                <w:lang/>
              </w:rPr>
              <w:t>本科生人</w:t>
            </w:r>
            <w:r>
              <w:rPr>
                <w:rFonts w:ascii="Calibri" w:hAnsi="Calibri" w:cs="Calibri"/>
                <w:b/>
                <w:color w:val="000000"/>
                <w:kern w:val="0"/>
                <w:sz w:val="24"/>
                <w:szCs w:val="24"/>
                <w:lang/>
              </w:rPr>
              <w:t>数</w:t>
            </w:r>
          </w:p>
        </w:tc>
        <w:tc>
          <w:tcPr>
            <w:tcW w:w="1590" w:type="dxa"/>
            <w:shd w:val="clear" w:color="5B9BD5" w:fill="8DB3E2"/>
            <w:vAlign w:val="center"/>
          </w:tcPr>
          <w:p w:rsidR="00000000" w:rsidRDefault="009A1129">
            <w:pPr>
              <w:widowControl/>
              <w:jc w:val="center"/>
              <w:textAlignment w:val="center"/>
              <w:rPr>
                <w:rFonts w:ascii="Calibri" w:hAnsi="Calibri" w:cs="Calibri"/>
                <w:b/>
                <w:color w:val="000000"/>
                <w:sz w:val="24"/>
                <w:szCs w:val="24"/>
              </w:rPr>
            </w:pPr>
            <w:r>
              <w:rPr>
                <w:rFonts w:ascii="Calibri" w:hAnsi="Calibri" w:cs="Calibri"/>
                <w:b/>
                <w:color w:val="000000"/>
                <w:kern w:val="0"/>
                <w:sz w:val="24"/>
                <w:szCs w:val="24"/>
                <w:lang/>
              </w:rPr>
              <w:t>比例（</w:t>
            </w:r>
            <w:r>
              <w:rPr>
                <w:rFonts w:ascii="Calibri" w:hAnsi="Calibri" w:cs="Calibri"/>
                <w:b/>
                <w:color w:val="000000"/>
                <w:kern w:val="0"/>
                <w:sz w:val="24"/>
                <w:szCs w:val="24"/>
                <w:lang/>
              </w:rPr>
              <w:t>%</w:t>
            </w:r>
            <w:r>
              <w:rPr>
                <w:rFonts w:ascii="Calibri" w:hAnsi="Calibri" w:cs="Calibri"/>
                <w:b/>
                <w:color w:val="000000"/>
                <w:kern w:val="0"/>
                <w:sz w:val="24"/>
                <w:szCs w:val="24"/>
                <w:lang/>
              </w:rPr>
              <w:t>）</w:t>
            </w:r>
          </w:p>
        </w:tc>
      </w:tr>
      <w:tr w:rsidR="00000000">
        <w:trPr>
          <w:trHeight w:val="465"/>
          <w:jc w:val="center"/>
        </w:trPr>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w:t>
            </w:r>
          </w:p>
        </w:tc>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常州市</w:t>
            </w:r>
          </w:p>
        </w:tc>
        <w:tc>
          <w:tcPr>
            <w:tcW w:w="131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60</w:t>
            </w:r>
          </w:p>
        </w:tc>
        <w:tc>
          <w:tcPr>
            <w:tcW w:w="159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3.31</w:t>
            </w:r>
            <w:r>
              <w:rPr>
                <w:rFonts w:ascii="Calibri" w:hAnsi="Calibri" w:cs="Calibri"/>
                <w:color w:val="000000"/>
                <w:kern w:val="0"/>
                <w:sz w:val="24"/>
                <w:szCs w:val="24"/>
                <w:lang/>
              </w:rPr>
              <w:t>%</w:t>
            </w:r>
          </w:p>
        </w:tc>
      </w:tr>
      <w:tr w:rsidR="00000000">
        <w:trPr>
          <w:trHeight w:val="405"/>
          <w:jc w:val="center"/>
        </w:trPr>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2</w:t>
            </w:r>
          </w:p>
        </w:tc>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淮安市</w:t>
            </w:r>
          </w:p>
        </w:tc>
        <w:tc>
          <w:tcPr>
            <w:tcW w:w="131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59</w:t>
            </w:r>
          </w:p>
        </w:tc>
        <w:tc>
          <w:tcPr>
            <w:tcW w:w="159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3.26</w:t>
            </w:r>
            <w:r>
              <w:rPr>
                <w:rFonts w:ascii="Calibri" w:hAnsi="Calibri" w:cs="Calibri"/>
                <w:color w:val="000000"/>
                <w:kern w:val="0"/>
                <w:sz w:val="24"/>
                <w:szCs w:val="24"/>
                <w:lang/>
              </w:rPr>
              <w:t>%</w:t>
            </w:r>
          </w:p>
        </w:tc>
      </w:tr>
      <w:tr w:rsidR="00000000">
        <w:trPr>
          <w:trHeight w:val="465"/>
          <w:jc w:val="center"/>
        </w:trPr>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3</w:t>
            </w:r>
          </w:p>
        </w:tc>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连云港</w:t>
            </w:r>
          </w:p>
        </w:tc>
        <w:tc>
          <w:tcPr>
            <w:tcW w:w="131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36</w:t>
            </w:r>
          </w:p>
        </w:tc>
        <w:tc>
          <w:tcPr>
            <w:tcW w:w="159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1.99</w:t>
            </w:r>
            <w:r>
              <w:rPr>
                <w:rFonts w:ascii="Calibri" w:hAnsi="Calibri" w:cs="Calibri"/>
                <w:color w:val="000000"/>
                <w:kern w:val="0"/>
                <w:sz w:val="24"/>
                <w:szCs w:val="24"/>
                <w:lang/>
              </w:rPr>
              <w:t>%</w:t>
            </w:r>
          </w:p>
        </w:tc>
      </w:tr>
      <w:tr w:rsidR="00000000">
        <w:trPr>
          <w:trHeight w:val="450"/>
          <w:jc w:val="center"/>
        </w:trPr>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4</w:t>
            </w:r>
          </w:p>
        </w:tc>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南京市</w:t>
            </w:r>
          </w:p>
        </w:tc>
        <w:tc>
          <w:tcPr>
            <w:tcW w:w="131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34</w:t>
            </w:r>
          </w:p>
        </w:tc>
        <w:tc>
          <w:tcPr>
            <w:tcW w:w="159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1.88</w:t>
            </w:r>
            <w:r>
              <w:rPr>
                <w:rFonts w:ascii="Calibri" w:hAnsi="Calibri" w:cs="Calibri"/>
                <w:color w:val="000000"/>
                <w:kern w:val="0"/>
                <w:sz w:val="24"/>
                <w:szCs w:val="24"/>
                <w:lang/>
              </w:rPr>
              <w:t>%</w:t>
            </w:r>
          </w:p>
        </w:tc>
      </w:tr>
      <w:tr w:rsidR="00000000">
        <w:trPr>
          <w:trHeight w:val="555"/>
          <w:jc w:val="center"/>
        </w:trPr>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5</w:t>
            </w:r>
          </w:p>
        </w:tc>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南通市</w:t>
            </w:r>
          </w:p>
        </w:tc>
        <w:tc>
          <w:tcPr>
            <w:tcW w:w="131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499</w:t>
            </w:r>
          </w:p>
        </w:tc>
        <w:tc>
          <w:tcPr>
            <w:tcW w:w="159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27.56</w:t>
            </w:r>
            <w:r>
              <w:rPr>
                <w:rFonts w:ascii="Calibri" w:hAnsi="Calibri" w:cs="Calibri"/>
                <w:color w:val="000000"/>
                <w:kern w:val="0"/>
                <w:sz w:val="24"/>
                <w:szCs w:val="24"/>
                <w:lang/>
              </w:rPr>
              <w:t>%</w:t>
            </w:r>
          </w:p>
        </w:tc>
      </w:tr>
      <w:tr w:rsidR="00000000">
        <w:trPr>
          <w:trHeight w:val="555"/>
          <w:jc w:val="center"/>
        </w:trPr>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6</w:t>
            </w:r>
          </w:p>
        </w:tc>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苏州市</w:t>
            </w:r>
          </w:p>
        </w:tc>
        <w:tc>
          <w:tcPr>
            <w:tcW w:w="131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247</w:t>
            </w:r>
          </w:p>
        </w:tc>
        <w:tc>
          <w:tcPr>
            <w:tcW w:w="159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13.64</w:t>
            </w:r>
            <w:r>
              <w:rPr>
                <w:rFonts w:ascii="Calibri" w:hAnsi="Calibri" w:cs="Calibri"/>
                <w:color w:val="000000"/>
                <w:kern w:val="0"/>
                <w:sz w:val="24"/>
                <w:szCs w:val="24"/>
                <w:lang/>
              </w:rPr>
              <w:t>%</w:t>
            </w:r>
          </w:p>
        </w:tc>
      </w:tr>
      <w:tr w:rsidR="00000000">
        <w:trPr>
          <w:trHeight w:val="585"/>
          <w:jc w:val="center"/>
        </w:trPr>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7</w:t>
            </w:r>
          </w:p>
        </w:tc>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宿迁市</w:t>
            </w:r>
          </w:p>
        </w:tc>
        <w:tc>
          <w:tcPr>
            <w:tcW w:w="131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132</w:t>
            </w:r>
          </w:p>
        </w:tc>
        <w:tc>
          <w:tcPr>
            <w:tcW w:w="159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7.29</w:t>
            </w:r>
            <w:r>
              <w:rPr>
                <w:rFonts w:ascii="Calibri" w:hAnsi="Calibri" w:cs="Calibri"/>
                <w:color w:val="000000"/>
                <w:kern w:val="0"/>
                <w:sz w:val="24"/>
                <w:szCs w:val="24"/>
                <w:lang/>
              </w:rPr>
              <w:t>%</w:t>
            </w:r>
          </w:p>
        </w:tc>
      </w:tr>
      <w:tr w:rsidR="00000000">
        <w:trPr>
          <w:trHeight w:val="585"/>
          <w:jc w:val="center"/>
        </w:trPr>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8</w:t>
            </w:r>
          </w:p>
        </w:tc>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泰州市</w:t>
            </w:r>
          </w:p>
        </w:tc>
        <w:tc>
          <w:tcPr>
            <w:tcW w:w="131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96</w:t>
            </w:r>
          </w:p>
        </w:tc>
        <w:tc>
          <w:tcPr>
            <w:tcW w:w="159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5.30</w:t>
            </w:r>
            <w:r>
              <w:rPr>
                <w:rFonts w:ascii="Calibri" w:hAnsi="Calibri" w:cs="Calibri"/>
                <w:color w:val="000000"/>
                <w:kern w:val="0"/>
                <w:sz w:val="24"/>
                <w:szCs w:val="24"/>
                <w:lang/>
              </w:rPr>
              <w:t>%</w:t>
            </w:r>
          </w:p>
        </w:tc>
      </w:tr>
      <w:tr w:rsidR="00000000">
        <w:trPr>
          <w:trHeight w:val="570"/>
          <w:jc w:val="center"/>
        </w:trPr>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9</w:t>
            </w:r>
          </w:p>
        </w:tc>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无锡市</w:t>
            </w:r>
          </w:p>
        </w:tc>
        <w:tc>
          <w:tcPr>
            <w:tcW w:w="131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99</w:t>
            </w:r>
          </w:p>
        </w:tc>
        <w:tc>
          <w:tcPr>
            <w:tcW w:w="159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5.47</w:t>
            </w:r>
            <w:r>
              <w:rPr>
                <w:rFonts w:ascii="Calibri" w:hAnsi="Calibri" w:cs="Calibri"/>
                <w:color w:val="000000"/>
                <w:kern w:val="0"/>
                <w:sz w:val="24"/>
                <w:szCs w:val="24"/>
                <w:lang/>
              </w:rPr>
              <w:t>%</w:t>
            </w:r>
          </w:p>
        </w:tc>
      </w:tr>
      <w:tr w:rsidR="00000000">
        <w:trPr>
          <w:trHeight w:val="570"/>
          <w:jc w:val="center"/>
        </w:trPr>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10</w:t>
            </w:r>
          </w:p>
        </w:tc>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徐州市</w:t>
            </w:r>
          </w:p>
        </w:tc>
        <w:tc>
          <w:tcPr>
            <w:tcW w:w="131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48</w:t>
            </w:r>
          </w:p>
        </w:tc>
        <w:tc>
          <w:tcPr>
            <w:tcW w:w="159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2.65</w:t>
            </w:r>
            <w:r>
              <w:rPr>
                <w:rFonts w:ascii="Calibri" w:hAnsi="Calibri" w:cs="Calibri"/>
                <w:color w:val="000000"/>
                <w:kern w:val="0"/>
                <w:sz w:val="24"/>
                <w:szCs w:val="24"/>
                <w:lang/>
              </w:rPr>
              <w:t>%</w:t>
            </w:r>
          </w:p>
        </w:tc>
      </w:tr>
      <w:tr w:rsidR="00000000">
        <w:trPr>
          <w:trHeight w:val="525"/>
          <w:jc w:val="center"/>
        </w:trPr>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11</w:t>
            </w:r>
          </w:p>
        </w:tc>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盐城市</w:t>
            </w:r>
          </w:p>
        </w:tc>
        <w:tc>
          <w:tcPr>
            <w:tcW w:w="131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128</w:t>
            </w:r>
          </w:p>
        </w:tc>
        <w:tc>
          <w:tcPr>
            <w:tcW w:w="159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7.07</w:t>
            </w:r>
            <w:r>
              <w:rPr>
                <w:rFonts w:ascii="Calibri" w:hAnsi="Calibri" w:cs="Calibri"/>
                <w:color w:val="000000"/>
                <w:kern w:val="0"/>
                <w:sz w:val="24"/>
                <w:szCs w:val="24"/>
                <w:lang/>
              </w:rPr>
              <w:t>%</w:t>
            </w:r>
          </w:p>
        </w:tc>
      </w:tr>
      <w:tr w:rsidR="00000000">
        <w:trPr>
          <w:trHeight w:val="570"/>
          <w:jc w:val="center"/>
        </w:trPr>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12</w:t>
            </w:r>
          </w:p>
        </w:tc>
        <w:tc>
          <w:tcPr>
            <w:tcW w:w="108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扬州市</w:t>
            </w:r>
          </w:p>
        </w:tc>
        <w:tc>
          <w:tcPr>
            <w:tcW w:w="131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72</w:t>
            </w:r>
          </w:p>
        </w:tc>
        <w:tc>
          <w:tcPr>
            <w:tcW w:w="1590" w:type="dxa"/>
            <w:shd w:val="clear" w:color="auto" w:fill="F6F8FC"/>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3.99</w:t>
            </w:r>
            <w:r>
              <w:rPr>
                <w:rFonts w:ascii="Calibri" w:hAnsi="Calibri" w:cs="Calibri"/>
                <w:color w:val="000000"/>
                <w:kern w:val="0"/>
                <w:sz w:val="24"/>
                <w:szCs w:val="24"/>
                <w:lang/>
              </w:rPr>
              <w:t>%</w:t>
            </w:r>
          </w:p>
        </w:tc>
      </w:tr>
      <w:tr w:rsidR="00000000">
        <w:trPr>
          <w:trHeight w:val="570"/>
          <w:jc w:val="center"/>
        </w:trPr>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13</w:t>
            </w:r>
          </w:p>
        </w:tc>
        <w:tc>
          <w:tcPr>
            <w:tcW w:w="108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color w:val="000000"/>
                <w:kern w:val="0"/>
                <w:sz w:val="24"/>
                <w:szCs w:val="24"/>
                <w:lang/>
              </w:rPr>
              <w:t>镇江市</w:t>
            </w:r>
          </w:p>
        </w:tc>
        <w:tc>
          <w:tcPr>
            <w:tcW w:w="131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45</w:t>
            </w:r>
          </w:p>
        </w:tc>
        <w:tc>
          <w:tcPr>
            <w:tcW w:w="1590" w:type="dxa"/>
            <w:shd w:val="clear" w:color="auto" w:fill="C5D5E9"/>
            <w:vAlign w:val="center"/>
          </w:tcPr>
          <w:p w:rsidR="00000000" w:rsidRDefault="009A1129">
            <w:pPr>
              <w:widowControl/>
              <w:jc w:val="center"/>
              <w:textAlignment w:val="center"/>
              <w:rPr>
                <w:rFonts w:ascii="Calibri" w:hAnsi="Calibri" w:cs="Calibri"/>
                <w:color w:val="000000"/>
                <w:sz w:val="24"/>
                <w:szCs w:val="24"/>
              </w:rPr>
            </w:pPr>
            <w:r>
              <w:rPr>
                <w:rFonts w:ascii="Calibri" w:hAnsi="Calibri" w:cs="Calibri" w:hint="eastAsia"/>
                <w:color w:val="000000"/>
                <w:kern w:val="0"/>
                <w:sz w:val="24"/>
                <w:szCs w:val="24"/>
                <w:lang/>
              </w:rPr>
              <w:t>2.48</w:t>
            </w:r>
            <w:r>
              <w:rPr>
                <w:rFonts w:ascii="Calibri" w:hAnsi="Calibri" w:cs="Calibri"/>
                <w:color w:val="000000"/>
                <w:kern w:val="0"/>
                <w:sz w:val="24"/>
                <w:szCs w:val="24"/>
                <w:lang/>
              </w:rPr>
              <w:t>%</w:t>
            </w:r>
          </w:p>
        </w:tc>
      </w:tr>
    </w:tbl>
    <w:p w:rsidR="00000000" w:rsidRDefault="009A1129">
      <w:pPr>
        <w:spacing w:line="480" w:lineRule="auto"/>
        <w:rPr>
          <w:rFonts w:ascii="楷体_GB2312" w:eastAsia="楷体_GB2312" w:hAnsi="楷体_GB2312" w:cs="楷体_GB2312" w:hint="eastAsia"/>
          <w:b/>
          <w:bCs/>
          <w:sz w:val="32"/>
          <w:szCs w:val="32"/>
        </w:rPr>
      </w:pPr>
    </w:p>
    <w:p w:rsidR="00000000" w:rsidRDefault="009A1129">
      <w:pPr>
        <w:spacing w:line="480" w:lineRule="auto"/>
        <w:ind w:firstLineChars="147" w:firstLine="472"/>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三、就业率</w:t>
      </w:r>
    </w:p>
    <w:p w:rsidR="00000000" w:rsidRDefault="009A1129">
      <w:pPr>
        <w:spacing w:line="480" w:lineRule="auto"/>
        <w:ind w:left="42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就业率是反映在校大学生就业情况和社会对学校毕</w:t>
      </w:r>
      <w:r>
        <w:rPr>
          <w:rFonts w:ascii="楷体_GB2312" w:eastAsia="楷体_GB2312" w:hAnsi="楷体_GB2312" w:cs="楷体_GB2312" w:hint="eastAsia"/>
          <w:sz w:val="28"/>
          <w:szCs w:val="28"/>
        </w:rPr>
        <w:t>业生需求程度的重</w:t>
      </w:r>
      <w:r>
        <w:rPr>
          <w:rFonts w:ascii="楷体_GB2312" w:eastAsia="楷体_GB2312" w:hAnsi="楷体_GB2312" w:cs="楷体_GB2312" w:hint="eastAsia"/>
          <w:sz w:val="28"/>
          <w:szCs w:val="28"/>
        </w:rPr>
        <w:t>要指数。</w:t>
      </w:r>
      <w:r>
        <w:rPr>
          <w:rFonts w:ascii="楷体_GB2312" w:eastAsia="楷体_GB2312" w:hAnsi="楷体_GB2312" w:cs="楷体_GB2312" w:hint="eastAsia"/>
          <w:sz w:val="28"/>
          <w:szCs w:val="28"/>
        </w:rPr>
        <w:t>高校毕业生就业率计算公式为：毕业生就业率</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（毕业生就业人数÷毕业生总人数）×</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w:t>
      </w:r>
    </w:p>
    <w:p w:rsidR="00000000" w:rsidRDefault="009A1129">
      <w:pPr>
        <w:numPr>
          <w:ilvl w:val="0"/>
          <w:numId w:val="3"/>
        </w:numPr>
        <w:spacing w:line="480" w:lineRule="auto"/>
        <w:jc w:val="left"/>
        <w:rPr>
          <w:rFonts w:ascii="楷体_GB2312" w:eastAsia="楷体_GB2312" w:hAnsi="楷体_GB2312" w:cs="楷体_GB2312"/>
          <w:b/>
          <w:bCs/>
          <w:sz w:val="28"/>
          <w:szCs w:val="28"/>
        </w:rPr>
      </w:pPr>
      <w:r>
        <w:rPr>
          <w:rFonts w:ascii="楷体_GB2312" w:eastAsia="楷体_GB2312" w:hAnsi="楷体_GB2312" w:cs="楷体_GB2312" w:hint="eastAsia"/>
          <w:b/>
          <w:bCs/>
          <w:sz w:val="28"/>
          <w:szCs w:val="28"/>
        </w:rPr>
        <w:lastRenderedPageBreak/>
        <w:t>毕业生总体就业率</w:t>
      </w:r>
    </w:p>
    <w:p w:rsidR="00000000" w:rsidRDefault="009A1129">
      <w:pPr>
        <w:pStyle w:val="aa"/>
        <w:ind w:firstLineChars="400" w:firstLine="112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截至</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年</w:t>
      </w:r>
      <w:r>
        <w:rPr>
          <w:rFonts w:ascii="楷体_GB2312" w:eastAsia="楷体_GB2312" w:hAnsi="楷体_GB2312" w:cs="楷体_GB2312" w:hint="eastAsia"/>
          <w:sz w:val="28"/>
          <w:szCs w:val="28"/>
        </w:rPr>
        <w:t>12</w:t>
      </w:r>
      <w:r>
        <w:rPr>
          <w:rFonts w:ascii="楷体_GB2312" w:eastAsia="楷体_GB2312" w:hAnsi="楷体_GB2312" w:cs="楷体_GB2312" w:hint="eastAsia"/>
          <w:sz w:val="28"/>
          <w:szCs w:val="28"/>
        </w:rPr>
        <w:t>月</w:t>
      </w:r>
      <w:r>
        <w:rPr>
          <w:rFonts w:ascii="楷体_GB2312" w:eastAsia="楷体_GB2312" w:hAnsi="楷体_GB2312" w:cs="楷体_GB2312" w:hint="eastAsia"/>
          <w:sz w:val="28"/>
          <w:szCs w:val="28"/>
        </w:rPr>
        <w:t>25</w:t>
      </w:r>
      <w:r>
        <w:rPr>
          <w:rFonts w:ascii="楷体_GB2312" w:eastAsia="楷体_GB2312" w:hAnsi="楷体_GB2312" w:cs="楷体_GB2312" w:hint="eastAsia"/>
          <w:sz w:val="28"/>
          <w:szCs w:val="28"/>
        </w:rPr>
        <w:t>日</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我院毕业生年终就业率为</w:t>
      </w:r>
      <w:r>
        <w:rPr>
          <w:rFonts w:ascii="楷体_GB2312" w:eastAsia="楷体_GB2312" w:hAnsi="楷体_GB2312" w:cs="楷体_GB2312" w:hint="eastAsia"/>
          <w:sz w:val="28"/>
          <w:szCs w:val="28"/>
        </w:rPr>
        <w:t>97.79</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，其中人</w:t>
      </w:r>
      <w:r>
        <w:rPr>
          <w:rFonts w:ascii="楷体_GB2312" w:eastAsia="楷体_GB2312" w:hAnsi="楷体_GB2312" w:cs="楷体_GB2312" w:hint="eastAsia"/>
          <w:sz w:val="28"/>
          <w:szCs w:val="28"/>
        </w:rPr>
        <w:t>文学部、理学部、</w:t>
      </w:r>
      <w:r>
        <w:rPr>
          <w:rFonts w:ascii="楷体_GB2312" w:eastAsia="楷体_GB2312" w:hAnsi="楷体_GB2312" w:cs="楷体_GB2312" w:hint="eastAsia"/>
          <w:sz w:val="28"/>
          <w:szCs w:val="28"/>
        </w:rPr>
        <w:t>工程学部</w:t>
      </w:r>
      <w:r>
        <w:rPr>
          <w:rFonts w:ascii="楷体_GB2312" w:eastAsia="楷体_GB2312" w:hAnsi="楷体_GB2312" w:cs="楷体_GB2312" w:hint="eastAsia"/>
          <w:sz w:val="28"/>
          <w:szCs w:val="28"/>
        </w:rPr>
        <w:t>为</w:t>
      </w:r>
      <w:r>
        <w:rPr>
          <w:rFonts w:ascii="楷体_GB2312" w:eastAsia="楷体_GB2312" w:hAnsi="楷体_GB2312" w:cs="楷体_GB2312" w:hint="eastAsia"/>
          <w:sz w:val="28"/>
          <w:szCs w:val="28"/>
        </w:rPr>
        <w:t>1</w:t>
      </w:r>
      <w:r>
        <w:rPr>
          <w:rFonts w:ascii="楷体_GB2312" w:eastAsia="楷体_GB2312" w:hAnsi="楷体_GB2312" w:cs="楷体_GB2312" w:hint="eastAsia"/>
          <w:sz w:val="28"/>
          <w:szCs w:val="28"/>
        </w:rPr>
        <w:t>00%</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信息科学部、医学部（四）为</w:t>
      </w:r>
      <w:r>
        <w:rPr>
          <w:rFonts w:ascii="楷体_GB2312" w:eastAsia="楷体_GB2312" w:hAnsi="楷体_GB2312" w:cs="楷体_GB2312" w:hint="eastAsia"/>
          <w:sz w:val="28"/>
          <w:szCs w:val="28"/>
        </w:rPr>
        <w:t>99.59%</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经管</w:t>
      </w:r>
      <w:r>
        <w:rPr>
          <w:rFonts w:ascii="楷体_GB2312" w:eastAsia="楷体_GB2312" w:hAnsi="楷体_GB2312" w:cs="楷体_GB2312" w:hint="eastAsia"/>
          <w:sz w:val="28"/>
          <w:szCs w:val="28"/>
        </w:rPr>
        <w:t>学部为</w:t>
      </w:r>
      <w:r>
        <w:rPr>
          <w:rFonts w:ascii="楷体_GB2312" w:eastAsia="楷体_GB2312" w:hAnsi="楷体_GB2312" w:cs="楷体_GB2312" w:hint="eastAsia"/>
          <w:sz w:val="28"/>
          <w:szCs w:val="28"/>
        </w:rPr>
        <w:t>99.17</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，医学部</w:t>
      </w:r>
      <w:r>
        <w:rPr>
          <w:rFonts w:ascii="楷体_GB2312" w:eastAsia="楷体_GB2312" w:hAnsi="楷体_GB2312" w:cs="楷体_GB2312" w:hint="eastAsia"/>
          <w:sz w:val="28"/>
          <w:szCs w:val="28"/>
        </w:rPr>
        <w:t>（五）</w:t>
      </w:r>
      <w:r>
        <w:rPr>
          <w:rFonts w:ascii="楷体_GB2312" w:eastAsia="楷体_GB2312" w:hAnsi="楷体_GB2312" w:cs="楷体_GB2312" w:hint="eastAsia"/>
          <w:sz w:val="28"/>
          <w:szCs w:val="28"/>
        </w:rPr>
        <w:t>为</w:t>
      </w:r>
      <w:r>
        <w:rPr>
          <w:rFonts w:ascii="楷体_GB2312" w:eastAsia="楷体_GB2312" w:hAnsi="楷体_GB2312" w:cs="楷体_GB2312" w:hint="eastAsia"/>
          <w:sz w:val="28"/>
          <w:szCs w:val="28"/>
        </w:rPr>
        <w:t>91.15%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1-</w:t>
      </w:r>
      <w:r>
        <w:rPr>
          <w:rFonts w:ascii="楷体_GB2312" w:eastAsia="楷体_GB2312" w:hAnsi="楷体_GB2312" w:cs="楷体_GB2312" w:hint="eastAsia"/>
          <w:sz w:val="28"/>
          <w:szCs w:val="28"/>
        </w:rPr>
        <w:t>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6</w:t>
      </w:r>
      <w:r>
        <w:rPr>
          <w:rFonts w:ascii="楷体_GB2312" w:eastAsia="楷体_GB2312" w:hAnsi="楷体_GB2312" w:cs="楷体_GB2312" w:hint="eastAsia"/>
          <w:sz w:val="28"/>
          <w:szCs w:val="28"/>
        </w:rPr>
        <w:t>个学部的年终就业率水平总体较为均衡，其中医学部</w:t>
      </w:r>
      <w:r>
        <w:rPr>
          <w:rFonts w:ascii="楷体_GB2312" w:eastAsia="楷体_GB2312" w:hAnsi="楷体_GB2312" w:cs="楷体_GB2312" w:hint="eastAsia"/>
          <w:sz w:val="28"/>
          <w:szCs w:val="28"/>
        </w:rPr>
        <w:t>（五）</w:t>
      </w:r>
      <w:r>
        <w:rPr>
          <w:rFonts w:ascii="楷体_GB2312" w:eastAsia="楷体_GB2312" w:hAnsi="楷体_GB2312" w:cs="楷体_GB2312" w:hint="eastAsia"/>
          <w:sz w:val="28"/>
          <w:szCs w:val="28"/>
        </w:rPr>
        <w:t>相对较低的原因是医学生到医疗卫生系统就业，必须于毕业当年参加当地统一考试，如未能通过，则于毕业第二年三月份才有机会参</w:t>
      </w:r>
      <w:r>
        <w:rPr>
          <w:rFonts w:ascii="楷体_GB2312" w:eastAsia="楷体_GB2312" w:hAnsi="楷体_GB2312" w:cs="楷体_GB2312" w:hint="eastAsia"/>
          <w:sz w:val="28"/>
          <w:szCs w:val="28"/>
        </w:rPr>
        <w:t>加考试。</w:t>
      </w:r>
    </w:p>
    <w:p w:rsidR="00000000" w:rsidRDefault="006666D3">
      <w:pPr>
        <w:spacing w:line="480" w:lineRule="auto"/>
        <w:jc w:val="left"/>
        <w:rPr>
          <w:rFonts w:ascii="楷体_GB2312" w:eastAsia="楷体_GB2312" w:hAnsi="楷体_GB2312" w:cs="楷体_GB2312" w:hint="eastAsia"/>
          <w:sz w:val="28"/>
          <w:szCs w:val="28"/>
        </w:rPr>
      </w:pPr>
      <w:r>
        <w:rPr>
          <w:noProof/>
        </w:rPr>
        <w:drawing>
          <wp:inline distT="0" distB="0" distL="0" distR="0">
            <wp:extent cx="4982637" cy="2515629"/>
            <wp:effectExtent l="4197" t="4205" r="13791" b="13816"/>
            <wp:docPr id="7" name="图片 2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00000" w:rsidRDefault="009A1129">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w:t>
      </w:r>
      <w:r>
        <w:rPr>
          <w:rFonts w:ascii="楷体_GB2312" w:eastAsia="楷体_GB2312" w:hAnsi="楷体_GB2312" w:cs="楷体_GB2312" w:hint="eastAsia"/>
          <w:b/>
          <w:bCs/>
          <w:sz w:val="28"/>
          <w:szCs w:val="28"/>
        </w:rPr>
        <w:t>4</w:t>
      </w:r>
      <w:r>
        <w:rPr>
          <w:rFonts w:ascii="楷体_GB2312" w:eastAsia="楷体_GB2312" w:hAnsi="楷体_GB2312" w:cs="楷体_GB2312" w:hint="eastAsia"/>
          <w:b/>
          <w:bCs/>
          <w:sz w:val="28"/>
          <w:szCs w:val="28"/>
        </w:rPr>
        <w:t xml:space="preserve">  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届毕业生各学部年终就业率情况</w:t>
      </w:r>
    </w:p>
    <w:p w:rsidR="00000000" w:rsidRDefault="009A1129">
      <w:pPr>
        <w:spacing w:line="480" w:lineRule="auto"/>
        <w:rPr>
          <w:rFonts w:ascii="楷体_GB2312" w:eastAsia="楷体_GB2312" w:hAnsi="楷体_GB2312" w:cs="楷体_GB2312" w:hint="eastAsia"/>
          <w:b/>
          <w:bCs/>
          <w:sz w:val="28"/>
          <w:szCs w:val="28"/>
        </w:rPr>
      </w:pPr>
    </w:p>
    <w:p w:rsidR="00000000" w:rsidRDefault="009A1129">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（二）各专业就业率</w:t>
      </w:r>
    </w:p>
    <w:p w:rsidR="00000000" w:rsidRDefault="009A1129">
      <w:pPr>
        <w:pStyle w:val="aa"/>
        <w:ind w:firstLineChars="200" w:firstLine="5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2017</w:t>
      </w:r>
      <w:r>
        <w:rPr>
          <w:rFonts w:ascii="楷体_GB2312" w:eastAsia="楷体_GB2312" w:hAnsi="楷体_GB2312" w:cs="楷体_GB2312" w:hint="eastAsia"/>
          <w:sz w:val="28"/>
          <w:szCs w:val="28"/>
        </w:rPr>
        <w:t>届毕业生</w:t>
      </w:r>
      <w:r>
        <w:rPr>
          <w:rFonts w:ascii="楷体_GB2312" w:eastAsia="楷体_GB2312" w:hAnsi="楷体_GB2312" w:cs="楷体_GB2312" w:hint="eastAsia"/>
          <w:sz w:val="28"/>
          <w:szCs w:val="28"/>
        </w:rPr>
        <w:t>38</w:t>
      </w:r>
      <w:r>
        <w:rPr>
          <w:rFonts w:ascii="楷体_GB2312" w:eastAsia="楷体_GB2312" w:hAnsi="楷体_GB2312" w:cs="楷体_GB2312" w:hint="eastAsia"/>
          <w:sz w:val="28"/>
          <w:szCs w:val="28"/>
        </w:rPr>
        <w:t>个专业中，除会计学、集成电路设计与集成系统、医学检验技术、临床医学</w:t>
      </w:r>
      <w:r>
        <w:rPr>
          <w:rFonts w:ascii="楷体_GB2312" w:eastAsia="楷体_GB2312" w:hAnsi="楷体_GB2312" w:cs="楷体_GB2312" w:hint="eastAsia"/>
          <w:sz w:val="28"/>
          <w:szCs w:val="28"/>
        </w:rPr>
        <w:t>4</w:t>
      </w:r>
      <w:r>
        <w:rPr>
          <w:rFonts w:ascii="楷体_GB2312" w:eastAsia="楷体_GB2312" w:hAnsi="楷体_GB2312" w:cs="楷体_GB2312" w:hint="eastAsia"/>
          <w:sz w:val="28"/>
          <w:szCs w:val="28"/>
        </w:rPr>
        <w:t>个专业外，有</w:t>
      </w:r>
      <w:r>
        <w:rPr>
          <w:rFonts w:ascii="楷体_GB2312" w:eastAsia="楷体_GB2312" w:hAnsi="楷体_GB2312" w:cs="楷体_GB2312" w:hint="eastAsia"/>
          <w:sz w:val="28"/>
          <w:szCs w:val="28"/>
        </w:rPr>
        <w:t>34</w:t>
      </w:r>
      <w:r>
        <w:rPr>
          <w:rFonts w:ascii="楷体_GB2312" w:eastAsia="楷体_GB2312" w:hAnsi="楷体_GB2312" w:cs="楷体_GB2312" w:hint="eastAsia"/>
          <w:sz w:val="28"/>
          <w:szCs w:val="28"/>
        </w:rPr>
        <w:t>个专业就业率达</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，占专业总数的</w:t>
      </w:r>
      <w:r>
        <w:rPr>
          <w:rFonts w:ascii="楷体_GB2312" w:eastAsia="楷体_GB2312" w:hAnsi="楷体_GB2312" w:cs="楷体_GB2312" w:hint="eastAsia"/>
          <w:sz w:val="28"/>
          <w:szCs w:val="28"/>
        </w:rPr>
        <w:t>89.47%</w:t>
      </w:r>
      <w:r>
        <w:rPr>
          <w:rFonts w:ascii="楷体_GB2312" w:eastAsia="楷体_GB2312" w:hAnsi="楷体_GB2312" w:cs="楷体_GB2312" w:hint="eastAsia"/>
          <w:sz w:val="28"/>
          <w:szCs w:val="28"/>
        </w:rPr>
        <w:t>（见表</w:t>
      </w:r>
      <w:r>
        <w:rPr>
          <w:rFonts w:ascii="楷体_GB2312" w:eastAsia="楷体_GB2312" w:hAnsi="楷体_GB2312" w:cs="楷体_GB2312" w:hint="eastAsia"/>
          <w:sz w:val="28"/>
          <w:szCs w:val="28"/>
        </w:rPr>
        <w:t>1-4</w:t>
      </w:r>
      <w:r>
        <w:rPr>
          <w:rFonts w:ascii="楷体_GB2312" w:eastAsia="楷体_GB2312" w:hAnsi="楷体_GB2312" w:cs="楷体_GB2312" w:hint="eastAsia"/>
          <w:sz w:val="28"/>
          <w:szCs w:val="28"/>
        </w:rPr>
        <w:t>）。</w:t>
      </w:r>
    </w:p>
    <w:p w:rsidR="00000000" w:rsidRDefault="009A1129">
      <w:pPr>
        <w:pStyle w:val="aa"/>
        <w:ind w:firstLineChars="200" w:firstLine="560"/>
        <w:rPr>
          <w:rFonts w:ascii="楷体_GB2312" w:eastAsia="楷体_GB2312" w:hAnsi="楷体_GB2312" w:cs="楷体_GB2312" w:hint="eastAsia"/>
          <w:sz w:val="28"/>
          <w:szCs w:val="28"/>
        </w:rPr>
      </w:pPr>
    </w:p>
    <w:p w:rsidR="00000000" w:rsidRDefault="009A1129">
      <w:pPr>
        <w:pStyle w:val="aa"/>
        <w:ind w:firstLineChars="200" w:firstLine="560"/>
        <w:rPr>
          <w:rFonts w:ascii="楷体_GB2312" w:eastAsia="楷体_GB2312" w:hAnsi="楷体_GB2312" w:cs="楷体_GB2312" w:hint="eastAsia"/>
          <w:sz w:val="28"/>
          <w:szCs w:val="28"/>
        </w:rPr>
      </w:pPr>
    </w:p>
    <w:p w:rsidR="00000000" w:rsidRDefault="009A1129">
      <w:pPr>
        <w:spacing w:line="480" w:lineRule="auto"/>
        <w:ind w:left="420"/>
        <w:jc w:val="center"/>
        <w:rPr>
          <w:rFonts w:ascii="楷体_GB2312" w:eastAsia="楷体_GB2312" w:hAnsi="楷体_GB2312" w:cs="楷体_GB2312" w:hint="eastAsia"/>
          <w:b/>
          <w:sz w:val="28"/>
          <w:szCs w:val="28"/>
        </w:rPr>
      </w:pPr>
      <w:r>
        <w:rPr>
          <w:rFonts w:ascii="楷体_GB2312" w:eastAsia="楷体_GB2312" w:hAnsi="楷体_GB2312" w:cs="楷体_GB2312" w:hint="eastAsia"/>
          <w:b/>
          <w:sz w:val="28"/>
          <w:szCs w:val="28"/>
        </w:rPr>
        <w:lastRenderedPageBreak/>
        <w:t>表</w:t>
      </w:r>
      <w:r>
        <w:rPr>
          <w:rFonts w:ascii="楷体_GB2312" w:eastAsia="楷体_GB2312" w:hAnsi="楷体_GB2312" w:cs="楷体_GB2312" w:hint="eastAsia"/>
          <w:b/>
          <w:sz w:val="28"/>
          <w:szCs w:val="28"/>
        </w:rPr>
        <w:t>1-</w:t>
      </w:r>
      <w:r>
        <w:rPr>
          <w:rFonts w:ascii="楷体_GB2312" w:eastAsia="楷体_GB2312" w:hAnsi="楷体_GB2312" w:cs="楷体_GB2312" w:hint="eastAsia"/>
          <w:b/>
          <w:sz w:val="28"/>
          <w:szCs w:val="28"/>
        </w:rPr>
        <w:t>4</w:t>
      </w:r>
      <w:r>
        <w:rPr>
          <w:rFonts w:ascii="楷体_GB2312" w:eastAsia="楷体_GB2312" w:hAnsi="楷体_GB2312" w:cs="楷体_GB2312" w:hint="eastAsia"/>
          <w:b/>
          <w:sz w:val="28"/>
          <w:szCs w:val="28"/>
        </w:rPr>
        <w:t xml:space="preserve">  201</w:t>
      </w:r>
      <w:r>
        <w:rPr>
          <w:rFonts w:ascii="楷体_GB2312" w:eastAsia="楷体_GB2312" w:hAnsi="楷体_GB2312" w:cs="楷体_GB2312" w:hint="eastAsia"/>
          <w:b/>
          <w:sz w:val="28"/>
          <w:szCs w:val="28"/>
        </w:rPr>
        <w:t>7</w:t>
      </w:r>
      <w:r>
        <w:rPr>
          <w:rFonts w:ascii="楷体_GB2312" w:eastAsia="楷体_GB2312" w:hAnsi="楷体_GB2312" w:cs="楷体_GB2312" w:hint="eastAsia"/>
          <w:b/>
          <w:sz w:val="28"/>
          <w:szCs w:val="28"/>
        </w:rPr>
        <w:t>届各专业毕业生就业率统计表</w:t>
      </w:r>
    </w:p>
    <w:p w:rsidR="00000000" w:rsidRDefault="009A1129">
      <w:pPr>
        <w:jc w:val="right"/>
        <w:rPr>
          <w:rFonts w:ascii="楷体_GB2312" w:eastAsia="楷体_GB2312" w:hAnsi="楷体_GB2312" w:cs="楷体_GB2312" w:hint="eastAsia"/>
          <w:b/>
          <w:sz w:val="28"/>
          <w:szCs w:val="28"/>
        </w:rPr>
      </w:pPr>
      <w:r>
        <w:rPr>
          <w:b/>
          <w:sz w:val="18"/>
          <w:szCs w:val="18"/>
        </w:rPr>
        <w:t>单位</w:t>
      </w:r>
      <w:r>
        <w:rPr>
          <w:rFonts w:hint="eastAsia"/>
          <w:b/>
          <w:sz w:val="18"/>
          <w:szCs w:val="18"/>
        </w:rPr>
        <w:t>：</w:t>
      </w:r>
      <w:r>
        <w:rPr>
          <w:rFonts w:ascii="Calibri" w:hAnsi="Calibri" w:cs="宋体" w:hint="eastAsia"/>
          <w:b/>
          <w:bCs/>
          <w:color w:val="000000"/>
          <w:kern w:val="0"/>
          <w:sz w:val="18"/>
          <w:szCs w:val="18"/>
        </w:rPr>
        <w:t>%</w:t>
      </w:r>
    </w:p>
    <w:tbl>
      <w:tblPr>
        <w:tblpPr w:leftFromText="180" w:rightFromText="180" w:vertAnchor="text" w:horzAnchor="page" w:tblpX="2245" w:tblpY="732"/>
        <w:tblOverlap w:val="never"/>
        <w:tblW w:w="0" w:type="auto"/>
        <w:tblInd w:w="0"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tblPr>
      <w:tblGrid>
        <w:gridCol w:w="1408"/>
        <w:gridCol w:w="924"/>
        <w:gridCol w:w="3619"/>
        <w:gridCol w:w="2024"/>
      </w:tblGrid>
      <w:tr w:rsidR="00000000">
        <w:trPr>
          <w:trHeight w:val="667"/>
          <w:tblHeader/>
        </w:trPr>
        <w:tc>
          <w:tcPr>
            <w:tcW w:w="1408" w:type="dxa"/>
            <w:tcBorders>
              <w:top w:val="single" w:sz="6" w:space="0" w:color="FFFFFF"/>
              <w:left w:val="single" w:sz="6" w:space="0" w:color="FFFFFF"/>
              <w:bottom w:val="single" w:sz="6" w:space="0" w:color="FFFFFF"/>
              <w:right w:val="single" w:sz="6" w:space="0" w:color="FFFFFF"/>
            </w:tcBorders>
            <w:shd w:val="clear" w:color="4472C4" w:fill="4472C4"/>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b/>
                <w:color w:val="FFFFFF"/>
                <w:kern w:val="0"/>
                <w:sz w:val="20"/>
                <w:szCs w:val="20"/>
                <w:lang/>
              </w:rPr>
              <w:t>院系名称</w:t>
            </w:r>
          </w:p>
        </w:tc>
        <w:tc>
          <w:tcPr>
            <w:tcW w:w="924" w:type="dxa"/>
            <w:tcBorders>
              <w:top w:val="single" w:sz="6" w:space="0" w:color="FFFFFF"/>
              <w:left w:val="single" w:sz="6" w:space="0" w:color="FFFFFF"/>
              <w:bottom w:val="single" w:sz="6" w:space="0" w:color="FFFFFF"/>
              <w:right w:val="single" w:sz="6" w:space="0" w:color="FFFFFF"/>
            </w:tcBorders>
            <w:shd w:val="clear" w:color="4472C4" w:fill="4472C4"/>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b/>
                <w:color w:val="FFFFFF"/>
                <w:kern w:val="0"/>
                <w:sz w:val="20"/>
                <w:szCs w:val="20"/>
                <w:lang/>
              </w:rPr>
              <w:t>各院系就业率</w:t>
            </w:r>
          </w:p>
        </w:tc>
        <w:tc>
          <w:tcPr>
            <w:tcW w:w="3619" w:type="dxa"/>
            <w:tcBorders>
              <w:top w:val="single" w:sz="6" w:space="0" w:color="FFFFFF"/>
              <w:left w:val="single" w:sz="6" w:space="0" w:color="FFFFFF"/>
              <w:bottom w:val="single" w:sz="6" w:space="0" w:color="FFFFFF"/>
              <w:right w:val="single" w:sz="6" w:space="0" w:color="FFFFFF"/>
            </w:tcBorders>
            <w:shd w:val="clear" w:color="4472C4" w:fill="4472C4"/>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b/>
                <w:color w:val="FFFFFF"/>
                <w:kern w:val="0"/>
                <w:sz w:val="20"/>
                <w:szCs w:val="20"/>
                <w:lang/>
              </w:rPr>
              <w:t>专业名称</w:t>
            </w:r>
          </w:p>
        </w:tc>
        <w:tc>
          <w:tcPr>
            <w:tcW w:w="2024" w:type="dxa"/>
            <w:tcBorders>
              <w:top w:val="single" w:sz="6" w:space="0" w:color="FFFFFF"/>
              <w:left w:val="single" w:sz="6" w:space="0" w:color="FFFFFF"/>
              <w:bottom w:val="single" w:sz="6" w:space="0" w:color="FFFFFF"/>
              <w:right w:val="single" w:sz="6" w:space="0" w:color="FFFFFF"/>
            </w:tcBorders>
            <w:shd w:val="clear" w:color="4472C4" w:fill="4472C4"/>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b/>
                <w:color w:val="FFFFFF"/>
                <w:kern w:val="0"/>
                <w:sz w:val="20"/>
                <w:szCs w:val="20"/>
                <w:lang/>
              </w:rPr>
              <w:t>各专业就业率</w:t>
            </w:r>
          </w:p>
        </w:tc>
      </w:tr>
      <w:tr w:rsidR="00000000">
        <w:trPr>
          <w:trHeight w:val="356"/>
        </w:trPr>
        <w:tc>
          <w:tcPr>
            <w:tcW w:w="1408" w:type="dxa"/>
            <w:vMerge w:val="restart"/>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人文学部</w:t>
            </w:r>
          </w:p>
        </w:tc>
        <w:tc>
          <w:tcPr>
            <w:tcW w:w="924" w:type="dxa"/>
            <w:vMerge w:val="restart"/>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p>
        </w:tc>
        <w:tc>
          <w:tcPr>
            <w:tcW w:w="3619" w:type="dxa"/>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汉语言文学</w:t>
            </w:r>
          </w:p>
        </w:tc>
        <w:tc>
          <w:tcPr>
            <w:tcW w:w="2024" w:type="dxa"/>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p>
        </w:tc>
      </w:tr>
      <w:tr w:rsidR="00000000">
        <w:trPr>
          <w:trHeight w:val="470"/>
        </w:trPr>
        <w:tc>
          <w:tcPr>
            <w:tcW w:w="1408" w:type="dxa"/>
            <w:vMerge/>
            <w:shd w:val="solid" w:color="B8CCE4" w:fill="auto"/>
            <w:vAlign w:val="center"/>
          </w:tcPr>
          <w:p w:rsidR="00000000" w:rsidRDefault="009A1129">
            <w:pPr>
              <w:jc w:val="center"/>
              <w:rPr>
                <w:rFonts w:ascii="宋体" w:hAnsi="宋体" w:cs="宋体" w:hint="eastAsia"/>
                <w:color w:val="000000"/>
                <w:kern w:val="0"/>
                <w:sz w:val="20"/>
                <w:szCs w:val="20"/>
              </w:rPr>
            </w:pPr>
          </w:p>
        </w:tc>
        <w:tc>
          <w:tcPr>
            <w:tcW w:w="924" w:type="dxa"/>
            <w:vMerge/>
            <w:shd w:val="solid" w:color="B8CCE4" w:fill="auto"/>
            <w:vAlign w:val="center"/>
          </w:tcPr>
          <w:p w:rsidR="00000000" w:rsidRDefault="009A1129">
            <w:pPr>
              <w:jc w:val="center"/>
              <w:rPr>
                <w:rFonts w:ascii="宋体" w:hAnsi="宋体" w:cs="宋体" w:hint="eastAsia"/>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汉语言文学（新闻传媒与文化创意）</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shd w:val="solid" w:color="B8CCE4" w:fill="auto"/>
            <w:vAlign w:val="center"/>
          </w:tcPr>
          <w:p w:rsidR="00000000" w:rsidRDefault="009A1129">
            <w:pPr>
              <w:jc w:val="center"/>
              <w:rPr>
                <w:rFonts w:ascii="宋体" w:hAnsi="宋体" w:cs="宋体" w:hint="eastAsia"/>
                <w:color w:val="000000"/>
                <w:kern w:val="0"/>
                <w:sz w:val="20"/>
                <w:szCs w:val="20"/>
              </w:rPr>
            </w:pPr>
          </w:p>
        </w:tc>
        <w:tc>
          <w:tcPr>
            <w:tcW w:w="924" w:type="dxa"/>
            <w:vMerge/>
            <w:shd w:val="solid" w:color="B8CCE4" w:fill="auto"/>
            <w:vAlign w:val="center"/>
          </w:tcPr>
          <w:p w:rsidR="00000000" w:rsidRDefault="009A1129">
            <w:pPr>
              <w:jc w:val="center"/>
              <w:rPr>
                <w:rFonts w:ascii="宋体" w:hAnsi="宋体" w:cs="宋体" w:hint="eastAsia"/>
                <w:color w:val="000000"/>
                <w:kern w:val="0"/>
                <w:sz w:val="20"/>
                <w:szCs w:val="20"/>
              </w:rPr>
            </w:pPr>
          </w:p>
        </w:tc>
        <w:tc>
          <w:tcPr>
            <w:tcW w:w="3619" w:type="dxa"/>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英语</w:t>
            </w:r>
          </w:p>
        </w:tc>
        <w:tc>
          <w:tcPr>
            <w:tcW w:w="2024" w:type="dxa"/>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shd w:val="solid" w:color="B8CCE4" w:fill="auto"/>
            <w:vAlign w:val="center"/>
          </w:tcPr>
          <w:p w:rsidR="00000000" w:rsidRDefault="009A1129">
            <w:pPr>
              <w:jc w:val="center"/>
              <w:rPr>
                <w:rFonts w:ascii="宋体" w:hAnsi="宋体" w:cs="宋体" w:hint="eastAsia"/>
                <w:color w:val="000000"/>
                <w:kern w:val="0"/>
                <w:sz w:val="20"/>
                <w:szCs w:val="20"/>
              </w:rPr>
            </w:pPr>
          </w:p>
        </w:tc>
        <w:tc>
          <w:tcPr>
            <w:tcW w:w="924" w:type="dxa"/>
            <w:vMerge/>
            <w:shd w:val="solid" w:color="B8CCE4" w:fill="auto"/>
            <w:vAlign w:val="center"/>
          </w:tcPr>
          <w:p w:rsidR="00000000" w:rsidRDefault="009A1129">
            <w:pPr>
              <w:jc w:val="center"/>
              <w:rPr>
                <w:rFonts w:ascii="宋体" w:hAnsi="宋体" w:cs="宋体" w:hint="eastAsia"/>
                <w:color w:val="000000"/>
                <w:kern w:val="0"/>
                <w:sz w:val="20"/>
                <w:szCs w:val="20"/>
              </w:rPr>
            </w:pPr>
          </w:p>
        </w:tc>
        <w:tc>
          <w:tcPr>
            <w:tcW w:w="3619" w:type="dxa"/>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日语</w:t>
            </w:r>
          </w:p>
        </w:tc>
        <w:tc>
          <w:tcPr>
            <w:tcW w:w="2024" w:type="dxa"/>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w:t>
            </w:r>
            <w:r>
              <w:rPr>
                <w:rFonts w:ascii="宋体" w:hAnsi="宋体" w:cs="宋体" w:hint="eastAsia"/>
                <w:color w:val="000000"/>
                <w:kern w:val="0"/>
                <w:sz w:val="20"/>
                <w:szCs w:val="20"/>
                <w:lang/>
              </w:rPr>
              <w:t>00.00</w:t>
            </w:r>
          </w:p>
        </w:tc>
      </w:tr>
      <w:tr w:rsidR="00000000">
        <w:trPr>
          <w:trHeight w:val="356"/>
        </w:trPr>
        <w:tc>
          <w:tcPr>
            <w:tcW w:w="1408" w:type="dxa"/>
            <w:vMerge/>
            <w:shd w:val="solid" w:color="B8CCE4" w:fill="auto"/>
            <w:vAlign w:val="center"/>
          </w:tcPr>
          <w:p w:rsidR="00000000" w:rsidRDefault="009A1129">
            <w:pPr>
              <w:jc w:val="center"/>
              <w:rPr>
                <w:rFonts w:ascii="宋体" w:hAnsi="宋体" w:cs="宋体" w:hint="eastAsia"/>
                <w:color w:val="000000"/>
                <w:kern w:val="0"/>
                <w:sz w:val="20"/>
                <w:szCs w:val="20"/>
              </w:rPr>
            </w:pPr>
          </w:p>
        </w:tc>
        <w:tc>
          <w:tcPr>
            <w:tcW w:w="924" w:type="dxa"/>
            <w:vMerge/>
            <w:shd w:val="solid" w:color="B8CCE4" w:fill="auto"/>
            <w:vAlign w:val="center"/>
          </w:tcPr>
          <w:p w:rsidR="00000000" w:rsidRDefault="009A1129">
            <w:pPr>
              <w:jc w:val="center"/>
              <w:rPr>
                <w:rFonts w:ascii="宋体" w:hAnsi="宋体" w:cs="宋体" w:hint="eastAsia"/>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环境设计</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shd w:val="solid" w:color="B8CCE4" w:fill="auto"/>
            <w:vAlign w:val="center"/>
          </w:tcPr>
          <w:p w:rsidR="00000000" w:rsidRDefault="009A1129">
            <w:pPr>
              <w:jc w:val="center"/>
              <w:rPr>
                <w:rFonts w:ascii="宋体" w:hAnsi="宋体" w:cs="宋体" w:hint="eastAsia"/>
                <w:color w:val="000000"/>
                <w:kern w:val="0"/>
                <w:sz w:val="20"/>
                <w:szCs w:val="20"/>
              </w:rPr>
            </w:pPr>
          </w:p>
        </w:tc>
        <w:tc>
          <w:tcPr>
            <w:tcW w:w="924" w:type="dxa"/>
            <w:vMerge/>
            <w:shd w:val="solid" w:color="B8CCE4" w:fill="auto"/>
            <w:vAlign w:val="center"/>
          </w:tcPr>
          <w:p w:rsidR="00000000" w:rsidRDefault="009A1129">
            <w:pPr>
              <w:jc w:val="center"/>
              <w:rPr>
                <w:rFonts w:ascii="宋体" w:hAnsi="宋体" w:cs="宋体" w:hint="eastAsia"/>
                <w:color w:val="000000"/>
                <w:kern w:val="0"/>
                <w:sz w:val="20"/>
                <w:szCs w:val="20"/>
              </w:rPr>
            </w:pPr>
          </w:p>
        </w:tc>
        <w:tc>
          <w:tcPr>
            <w:tcW w:w="3619" w:type="dxa"/>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动画</w:t>
            </w:r>
          </w:p>
        </w:tc>
        <w:tc>
          <w:tcPr>
            <w:tcW w:w="2024" w:type="dxa"/>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bottom w:val="single" w:sz="6" w:space="0" w:color="FFFFFF"/>
            </w:tcBorders>
            <w:shd w:val="solid" w:color="B8CCE4" w:fill="auto"/>
            <w:vAlign w:val="center"/>
          </w:tcPr>
          <w:p w:rsidR="00000000" w:rsidRDefault="009A1129">
            <w:pPr>
              <w:jc w:val="center"/>
              <w:rPr>
                <w:rFonts w:ascii="宋体" w:hAnsi="宋体" w:cs="宋体" w:hint="eastAsia"/>
                <w:color w:val="000000"/>
                <w:kern w:val="0"/>
                <w:sz w:val="20"/>
                <w:szCs w:val="20"/>
              </w:rPr>
            </w:pPr>
          </w:p>
        </w:tc>
        <w:tc>
          <w:tcPr>
            <w:tcW w:w="924" w:type="dxa"/>
            <w:vMerge/>
            <w:tcBorders>
              <w:bottom w:val="single" w:sz="6" w:space="0" w:color="FFFFFF"/>
            </w:tcBorders>
            <w:shd w:val="solid" w:color="B8CCE4" w:fill="auto"/>
            <w:vAlign w:val="center"/>
          </w:tcPr>
          <w:p w:rsidR="00000000" w:rsidRDefault="009A1129">
            <w:pPr>
              <w:jc w:val="center"/>
              <w:rPr>
                <w:rFonts w:ascii="宋体" w:hAnsi="宋体" w:cs="宋体" w:hint="eastAsia"/>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视觉传达设计</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val="restart"/>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理学部</w:t>
            </w:r>
          </w:p>
        </w:tc>
        <w:tc>
          <w:tcPr>
            <w:tcW w:w="924" w:type="dxa"/>
            <w:vMerge w:val="restart"/>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100.00</w:t>
            </w:r>
          </w:p>
        </w:tc>
        <w:tc>
          <w:tcPr>
            <w:tcW w:w="3619" w:type="dxa"/>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人文地理与城乡规划</w:t>
            </w:r>
          </w:p>
        </w:tc>
        <w:tc>
          <w:tcPr>
            <w:tcW w:w="2024" w:type="dxa"/>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海洋技术</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自然地理与资源环境</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100.00</w:t>
            </w:r>
          </w:p>
        </w:tc>
      </w:tr>
      <w:tr w:rsidR="00000000">
        <w:trPr>
          <w:trHeight w:val="356"/>
        </w:trPr>
        <w:tc>
          <w:tcPr>
            <w:tcW w:w="1408" w:type="dxa"/>
            <w:vMerge/>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应用心理学</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bottom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bottom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应用统计学</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100.00</w:t>
            </w:r>
          </w:p>
        </w:tc>
      </w:tr>
      <w:tr w:rsidR="00000000">
        <w:trPr>
          <w:trHeight w:val="356"/>
        </w:trPr>
        <w:tc>
          <w:tcPr>
            <w:tcW w:w="1408" w:type="dxa"/>
            <w:vMerge w:val="restart"/>
            <w:tcBorders>
              <w:top w:val="single" w:sz="6" w:space="0" w:color="FFFFFF"/>
              <w:left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p>
          <w:p w:rsidR="00000000" w:rsidRDefault="009A1129">
            <w:pPr>
              <w:widowControl/>
              <w:jc w:val="center"/>
              <w:textAlignment w:val="center"/>
              <w:rPr>
                <w:rFonts w:ascii="宋体" w:hAnsi="宋体" w:cs="宋体" w:hint="eastAsia"/>
                <w:color w:val="000000"/>
                <w:kern w:val="0"/>
                <w:sz w:val="20"/>
                <w:szCs w:val="20"/>
                <w:lang/>
              </w:rPr>
            </w:pPr>
          </w:p>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经济与管理学部</w:t>
            </w:r>
          </w:p>
        </w:tc>
        <w:tc>
          <w:tcPr>
            <w:tcW w:w="924" w:type="dxa"/>
            <w:vMerge w:val="restart"/>
            <w:tcBorders>
              <w:top w:val="single" w:sz="6" w:space="0" w:color="FFFFFF"/>
              <w:left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99.17</w:t>
            </w: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国际经济与贸易</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市场营销</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市场营销（物流管理）</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会计学</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97.22</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行政管理</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bottom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bottom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城市管理</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100.0</w:t>
            </w:r>
            <w:r>
              <w:rPr>
                <w:rFonts w:ascii="宋体" w:hAnsi="宋体" w:cs="宋体" w:hint="eastAsia"/>
                <w:color w:val="000000"/>
                <w:kern w:val="0"/>
                <w:sz w:val="20"/>
                <w:szCs w:val="20"/>
                <w:lang/>
              </w:rPr>
              <w:t>0</w:t>
            </w:r>
          </w:p>
        </w:tc>
      </w:tr>
      <w:tr w:rsidR="00000000">
        <w:trPr>
          <w:trHeight w:val="356"/>
        </w:trPr>
        <w:tc>
          <w:tcPr>
            <w:tcW w:w="1408" w:type="dxa"/>
            <w:vMerge w:val="restart"/>
            <w:tcBorders>
              <w:top w:val="single" w:sz="6" w:space="0" w:color="FFFFFF"/>
              <w:left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信息科学部</w:t>
            </w:r>
          </w:p>
        </w:tc>
        <w:tc>
          <w:tcPr>
            <w:tcW w:w="924" w:type="dxa"/>
            <w:vMerge w:val="restart"/>
            <w:tcBorders>
              <w:top w:val="single" w:sz="6" w:space="0" w:color="FFFFFF"/>
              <w:left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99.59</w:t>
            </w: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微电子科学与工程</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自动化</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电子信息工程</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计算机科学与技术</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物联网</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bottom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bottom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集成电路设计与集成系统</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98.11</w:t>
            </w:r>
          </w:p>
        </w:tc>
      </w:tr>
      <w:tr w:rsidR="00000000">
        <w:trPr>
          <w:trHeight w:val="356"/>
        </w:trPr>
        <w:tc>
          <w:tcPr>
            <w:tcW w:w="1408" w:type="dxa"/>
            <w:vMerge w:val="restart"/>
            <w:tcBorders>
              <w:top w:val="single" w:sz="6" w:space="0" w:color="FFFFFF"/>
              <w:left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工程学部</w:t>
            </w:r>
          </w:p>
        </w:tc>
        <w:tc>
          <w:tcPr>
            <w:tcW w:w="924" w:type="dxa"/>
            <w:vMerge w:val="restart"/>
            <w:tcBorders>
              <w:top w:val="single" w:sz="6" w:space="0" w:color="FFFFFF"/>
              <w:left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机械工程</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土木工程</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化学工程与工艺</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轻化工程</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纺织工程</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纺织工程（纺织品检验与贸易）</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服装设计与工程</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服装与服饰设</w:t>
            </w:r>
            <w:r>
              <w:rPr>
                <w:rFonts w:ascii="宋体" w:hAnsi="宋体" w:cs="宋体" w:hint="eastAsia"/>
                <w:color w:val="000000"/>
                <w:kern w:val="0"/>
                <w:sz w:val="20"/>
                <w:szCs w:val="20"/>
                <w:lang/>
              </w:rPr>
              <w:t>计</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bottom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bottom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工程管理</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val="restart"/>
            <w:tcBorders>
              <w:top w:val="single" w:sz="6" w:space="0" w:color="FFFFFF"/>
              <w:left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医学部</w:t>
            </w:r>
            <w:r>
              <w:rPr>
                <w:rFonts w:ascii="宋体" w:hAnsi="宋体" w:cs="宋体" w:hint="eastAsia"/>
                <w:color w:val="000000"/>
                <w:kern w:val="0"/>
                <w:sz w:val="20"/>
                <w:szCs w:val="20"/>
                <w:lang/>
              </w:rPr>
              <w:t>(</w:t>
            </w:r>
            <w:r>
              <w:rPr>
                <w:rFonts w:ascii="宋体" w:hAnsi="宋体" w:cs="宋体" w:hint="eastAsia"/>
                <w:color w:val="000000"/>
                <w:kern w:val="0"/>
                <w:sz w:val="20"/>
                <w:szCs w:val="20"/>
                <w:lang/>
              </w:rPr>
              <w:t>四）</w:t>
            </w:r>
          </w:p>
        </w:tc>
        <w:tc>
          <w:tcPr>
            <w:tcW w:w="924" w:type="dxa"/>
            <w:vMerge w:val="restart"/>
            <w:tcBorders>
              <w:top w:val="single" w:sz="6" w:space="0" w:color="FFFFFF"/>
              <w:left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99.59</w:t>
            </w: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医学影像学</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医学检验技术</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98.08</w:t>
            </w:r>
          </w:p>
        </w:tc>
      </w:tr>
      <w:tr w:rsidR="00000000">
        <w:trPr>
          <w:trHeight w:val="356"/>
        </w:trPr>
        <w:tc>
          <w:tcPr>
            <w:tcW w:w="1408"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医学实验技术</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color w:val="000000"/>
                <w:kern w:val="0"/>
                <w:sz w:val="20"/>
                <w:szCs w:val="20"/>
                <w:lang/>
              </w:rPr>
            </w:pPr>
            <w:r>
              <w:rPr>
                <w:rFonts w:ascii="宋体" w:hAnsi="宋体" w:cs="宋体" w:hint="eastAsia"/>
                <w:color w:val="000000"/>
                <w:kern w:val="0"/>
                <w:sz w:val="20"/>
                <w:szCs w:val="20"/>
                <w:lang/>
              </w:rPr>
              <w:t>100.00</w:t>
            </w:r>
          </w:p>
        </w:tc>
      </w:tr>
      <w:tr w:rsidR="00000000">
        <w:trPr>
          <w:trHeight w:val="356"/>
        </w:trPr>
        <w:tc>
          <w:tcPr>
            <w:tcW w:w="1408" w:type="dxa"/>
            <w:vMerge/>
            <w:tcBorders>
              <w:left w:val="single" w:sz="6" w:space="0" w:color="FFFFFF"/>
              <w:bottom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924" w:type="dxa"/>
            <w:vMerge/>
            <w:tcBorders>
              <w:left w:val="single" w:sz="6" w:space="0" w:color="FFFFFF"/>
              <w:bottom w:val="single" w:sz="6" w:space="0" w:color="FFFFFF"/>
              <w:right w:val="single" w:sz="6" w:space="0" w:color="FFFFFF"/>
            </w:tcBorders>
            <w:shd w:val="solid" w:color="B8CCE4" w:fill="auto"/>
            <w:vAlign w:val="center"/>
          </w:tcPr>
          <w:p w:rsidR="00000000" w:rsidRDefault="009A1129">
            <w:pPr>
              <w:jc w:val="center"/>
              <w:rPr>
                <w:rFonts w:ascii="宋体" w:hAnsi="宋体" w:cs="宋体" w:hint="eastAsia"/>
                <w:b/>
                <w:bCs/>
                <w:color w:val="000000"/>
                <w:kern w:val="0"/>
                <w:sz w:val="20"/>
                <w:szCs w:val="20"/>
              </w:rPr>
            </w:pP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护理学</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100.00</w:t>
            </w:r>
          </w:p>
        </w:tc>
      </w:tr>
      <w:tr w:rsidR="00000000">
        <w:trPr>
          <w:trHeight w:val="356"/>
        </w:trPr>
        <w:tc>
          <w:tcPr>
            <w:tcW w:w="1408"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医学部（五）</w:t>
            </w:r>
          </w:p>
        </w:tc>
        <w:tc>
          <w:tcPr>
            <w:tcW w:w="9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91.15</w:t>
            </w: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临床医学</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91.15</w:t>
            </w:r>
          </w:p>
        </w:tc>
      </w:tr>
      <w:tr w:rsidR="00000000">
        <w:trPr>
          <w:trHeight w:val="400"/>
        </w:trPr>
        <w:tc>
          <w:tcPr>
            <w:tcW w:w="1408"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b/>
                <w:color w:val="000000"/>
                <w:kern w:val="0"/>
                <w:sz w:val="20"/>
                <w:szCs w:val="20"/>
                <w:lang/>
              </w:rPr>
              <w:t>本校平均</w:t>
            </w:r>
          </w:p>
        </w:tc>
        <w:tc>
          <w:tcPr>
            <w:tcW w:w="9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97.79</w:t>
            </w:r>
          </w:p>
        </w:tc>
        <w:tc>
          <w:tcPr>
            <w:tcW w:w="3619"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b/>
                <w:color w:val="000000"/>
                <w:kern w:val="0"/>
                <w:sz w:val="20"/>
                <w:szCs w:val="20"/>
                <w:lang/>
              </w:rPr>
              <w:t>本校平均</w:t>
            </w:r>
          </w:p>
        </w:tc>
        <w:tc>
          <w:tcPr>
            <w:tcW w:w="2024" w:type="dxa"/>
            <w:tcBorders>
              <w:top w:val="single" w:sz="6" w:space="0" w:color="FFFFFF"/>
              <w:left w:val="single" w:sz="6" w:space="0" w:color="FFFFFF"/>
              <w:bottom w:val="single" w:sz="6" w:space="0" w:color="FFFFFF"/>
              <w:right w:val="single" w:sz="6" w:space="0" w:color="FFFFFF"/>
            </w:tcBorders>
            <w:shd w:val="solid" w:color="B8CCE4" w:fill="auto"/>
            <w:vAlign w:val="center"/>
          </w:tcPr>
          <w:p w:rsidR="00000000" w:rsidRDefault="009A1129">
            <w:pPr>
              <w:widowControl/>
              <w:jc w:val="center"/>
              <w:textAlignment w:val="center"/>
              <w:rPr>
                <w:rFonts w:ascii="宋体" w:hAnsi="宋体" w:cs="宋体" w:hint="eastAsia"/>
                <w:b/>
                <w:bCs/>
                <w:color w:val="000000"/>
                <w:kern w:val="0"/>
                <w:sz w:val="20"/>
                <w:szCs w:val="20"/>
              </w:rPr>
            </w:pPr>
            <w:r>
              <w:rPr>
                <w:rFonts w:ascii="宋体" w:hAnsi="宋体" w:cs="宋体" w:hint="eastAsia"/>
                <w:color w:val="000000"/>
                <w:kern w:val="0"/>
                <w:sz w:val="20"/>
                <w:szCs w:val="20"/>
                <w:lang/>
              </w:rPr>
              <w:t>97.79</w:t>
            </w:r>
          </w:p>
        </w:tc>
      </w:tr>
    </w:tbl>
    <w:p w:rsidR="00000000" w:rsidRDefault="009A1129">
      <w:pPr>
        <w:spacing w:line="480" w:lineRule="auto"/>
        <w:jc w:val="left"/>
        <w:rPr>
          <w:rFonts w:ascii="楷体_GB2312" w:eastAsia="楷体_GB2312" w:hAnsi="楷体_GB2312" w:cs="楷体_GB2312" w:hint="eastAsia"/>
          <w:b/>
          <w:sz w:val="32"/>
          <w:szCs w:val="32"/>
        </w:rPr>
      </w:pPr>
    </w:p>
    <w:p w:rsidR="00000000" w:rsidRDefault="009A1129">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32"/>
          <w:szCs w:val="32"/>
        </w:rPr>
        <w:t>(</w:t>
      </w:r>
      <w:r>
        <w:rPr>
          <w:rFonts w:ascii="楷体_GB2312" w:eastAsia="楷体_GB2312" w:hAnsi="楷体_GB2312" w:cs="楷体_GB2312" w:hint="eastAsia"/>
          <w:b/>
          <w:sz w:val="32"/>
          <w:szCs w:val="32"/>
        </w:rPr>
        <w:t>三）</w:t>
      </w:r>
      <w:r>
        <w:rPr>
          <w:rFonts w:ascii="楷体_GB2312" w:eastAsia="楷体_GB2312" w:hAnsi="楷体_GB2312" w:cs="楷体_GB2312" w:hint="eastAsia"/>
          <w:b/>
          <w:sz w:val="28"/>
          <w:szCs w:val="28"/>
        </w:rPr>
        <w:t>不同性别毕业生就业率统计分析</w:t>
      </w:r>
    </w:p>
    <w:p w:rsidR="00000000" w:rsidRDefault="009A1129">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届毕业生中，女生就业率为</w:t>
      </w:r>
      <w:r>
        <w:rPr>
          <w:rFonts w:ascii="楷体_GB2312" w:eastAsia="楷体_GB2312" w:hAnsi="楷体_GB2312" w:cs="楷体_GB2312" w:hint="eastAsia"/>
          <w:sz w:val="28"/>
          <w:szCs w:val="28"/>
        </w:rPr>
        <w:t>98.</w:t>
      </w:r>
      <w:r>
        <w:rPr>
          <w:rFonts w:ascii="楷体_GB2312" w:eastAsia="楷体_GB2312" w:hAnsi="楷体_GB2312" w:cs="楷体_GB2312" w:hint="eastAsia"/>
          <w:sz w:val="28"/>
          <w:szCs w:val="28"/>
        </w:rPr>
        <w:t>23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，男生就业率</w:t>
      </w:r>
      <w:r>
        <w:rPr>
          <w:rFonts w:ascii="楷体_GB2312" w:eastAsia="楷体_GB2312" w:hAnsi="楷体_GB2312" w:cs="楷体_GB2312" w:hint="eastAsia"/>
          <w:sz w:val="28"/>
          <w:szCs w:val="28"/>
        </w:rPr>
        <w:t>9</w:t>
      </w:r>
      <w:r>
        <w:rPr>
          <w:rFonts w:ascii="楷体_GB2312" w:eastAsia="楷体_GB2312" w:hAnsi="楷体_GB2312" w:cs="楷体_GB2312" w:hint="eastAsia"/>
          <w:sz w:val="28"/>
          <w:szCs w:val="28"/>
        </w:rPr>
        <w:t>7.28</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，女生较男生高</w:t>
      </w:r>
      <w:r>
        <w:rPr>
          <w:rFonts w:ascii="楷体_GB2312" w:eastAsia="楷体_GB2312" w:hAnsi="楷体_GB2312" w:cs="楷体_GB2312" w:hint="eastAsia"/>
          <w:sz w:val="28"/>
          <w:szCs w:val="28"/>
        </w:rPr>
        <w:t>1</w:t>
      </w:r>
      <w:r>
        <w:rPr>
          <w:rFonts w:ascii="楷体_GB2312" w:eastAsia="楷体_GB2312" w:hAnsi="楷体_GB2312" w:cs="楷体_GB2312" w:hint="eastAsia"/>
          <w:sz w:val="28"/>
          <w:szCs w:val="28"/>
        </w:rPr>
        <w:t>个百分点。从各学部就业率统计情况看</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1-5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，人文学部、理学部、</w:t>
      </w:r>
      <w:r>
        <w:rPr>
          <w:rFonts w:ascii="楷体_GB2312" w:eastAsia="楷体_GB2312" w:hAnsi="楷体_GB2312" w:cs="楷体_GB2312" w:hint="eastAsia"/>
          <w:sz w:val="28"/>
          <w:szCs w:val="28"/>
        </w:rPr>
        <w:t>工程</w:t>
      </w:r>
      <w:r>
        <w:rPr>
          <w:rFonts w:ascii="楷体_GB2312" w:eastAsia="楷体_GB2312" w:hAnsi="楷体_GB2312" w:cs="楷体_GB2312" w:hint="eastAsia"/>
          <w:sz w:val="28"/>
          <w:szCs w:val="28"/>
        </w:rPr>
        <w:t>学部男女生就业率均为</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w:t>
      </w:r>
    </w:p>
    <w:p w:rsidR="00000000" w:rsidRDefault="006666D3">
      <w:pPr>
        <w:spacing w:line="480" w:lineRule="auto"/>
        <w:ind w:firstLineChars="200" w:firstLine="420"/>
        <w:jc w:val="left"/>
        <w:rPr>
          <w:rFonts w:ascii="楷体_GB2312" w:eastAsia="楷体_GB2312" w:hAnsi="楷体_GB2312" w:cs="楷体_GB2312"/>
          <w:sz w:val="28"/>
          <w:szCs w:val="28"/>
        </w:rPr>
      </w:pPr>
      <w:r>
        <w:rPr>
          <w:noProof/>
        </w:rPr>
        <w:drawing>
          <wp:inline distT="0" distB="0" distL="0" distR="0">
            <wp:extent cx="4734336" cy="2506721"/>
            <wp:effectExtent l="4349" t="4061" r="14290" b="13343"/>
            <wp:docPr id="8"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00000" w:rsidRDefault="009A1129">
      <w:pPr>
        <w:spacing w:line="480" w:lineRule="auto"/>
        <w:jc w:val="center"/>
        <w:rPr>
          <w:rFonts w:ascii="楷体_GB2312" w:eastAsia="楷体_GB2312" w:hAnsi="楷体_GB2312" w:cs="楷体_GB2312" w:hint="eastAsia"/>
          <w:b/>
          <w:sz w:val="28"/>
          <w:szCs w:val="28"/>
        </w:rPr>
      </w:pPr>
      <w:r>
        <w:rPr>
          <w:rFonts w:ascii="楷体_GB2312" w:eastAsia="楷体_GB2312" w:hAnsi="楷体_GB2312" w:cs="楷体_GB2312" w:hint="eastAsia"/>
          <w:b/>
          <w:sz w:val="28"/>
          <w:szCs w:val="28"/>
        </w:rPr>
        <w:t>图</w:t>
      </w:r>
      <w:r>
        <w:rPr>
          <w:rFonts w:ascii="楷体_GB2312" w:eastAsia="楷体_GB2312" w:hAnsi="楷体_GB2312" w:cs="楷体_GB2312" w:hint="eastAsia"/>
          <w:b/>
          <w:sz w:val="28"/>
          <w:szCs w:val="28"/>
        </w:rPr>
        <w:t>1-5  201</w:t>
      </w:r>
      <w:r>
        <w:rPr>
          <w:rFonts w:ascii="楷体_GB2312" w:eastAsia="楷体_GB2312" w:hAnsi="楷体_GB2312" w:cs="楷体_GB2312" w:hint="eastAsia"/>
          <w:b/>
          <w:sz w:val="28"/>
          <w:szCs w:val="28"/>
        </w:rPr>
        <w:t>7</w:t>
      </w:r>
      <w:r>
        <w:rPr>
          <w:rFonts w:ascii="楷体_GB2312" w:eastAsia="楷体_GB2312" w:hAnsi="楷体_GB2312" w:cs="楷体_GB2312" w:hint="eastAsia"/>
          <w:b/>
          <w:sz w:val="28"/>
          <w:szCs w:val="28"/>
        </w:rPr>
        <w:t>届毕业生各学部不同性别就业情况</w:t>
      </w:r>
    </w:p>
    <w:p w:rsidR="00000000" w:rsidRDefault="009A1129">
      <w:pPr>
        <w:spacing w:line="480" w:lineRule="auto"/>
        <w:jc w:val="center"/>
        <w:rPr>
          <w:rFonts w:ascii="楷体_GB2312" w:eastAsia="楷体_GB2312" w:hAnsi="楷体_GB2312" w:cs="楷体_GB2312" w:hint="eastAsia"/>
          <w:b/>
          <w:sz w:val="28"/>
          <w:szCs w:val="28"/>
        </w:rPr>
      </w:pPr>
    </w:p>
    <w:p w:rsidR="00000000" w:rsidRDefault="009A1129">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（四）不同生源地区毕业生就业率统计分析</w:t>
      </w:r>
    </w:p>
    <w:p w:rsidR="00000000" w:rsidRDefault="009A1129">
      <w:pPr>
        <w:pStyle w:val="aa"/>
        <w:ind w:firstLineChars="200" w:firstLine="560"/>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届毕业生中，江苏生源毕业生年终就业率为</w:t>
      </w:r>
      <w:r>
        <w:rPr>
          <w:rFonts w:ascii="楷体_GB2312" w:eastAsia="楷体_GB2312" w:hAnsi="楷体_GB2312" w:cs="楷体_GB2312" w:hint="eastAsia"/>
          <w:sz w:val="28"/>
          <w:szCs w:val="28"/>
        </w:rPr>
        <w:t>97.56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，其他省市生源毕业生就业率</w:t>
      </w:r>
      <w:r>
        <w:rPr>
          <w:rFonts w:ascii="楷体_GB2312" w:eastAsia="楷体_GB2312" w:hAnsi="楷体_GB2312" w:cs="楷体_GB2312" w:hint="eastAsia"/>
          <w:sz w:val="28"/>
          <w:szCs w:val="28"/>
        </w:rPr>
        <w:t>均为</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见表</w:t>
      </w:r>
      <w:r>
        <w:rPr>
          <w:rFonts w:ascii="楷体_GB2312" w:eastAsia="楷体_GB2312" w:hAnsi="楷体_GB2312" w:cs="楷体_GB2312" w:hint="eastAsia"/>
          <w:sz w:val="28"/>
          <w:szCs w:val="28"/>
        </w:rPr>
        <w:t>1-5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tbl>
      <w:tblPr>
        <w:tblW w:w="0" w:type="auto"/>
        <w:jc w:val="center"/>
        <w:tblInd w:w="0" w:type="dxa"/>
        <w:tblLayout w:type="fixed"/>
        <w:tblCellMar>
          <w:left w:w="0" w:type="dxa"/>
          <w:right w:w="0" w:type="dxa"/>
        </w:tblCellMar>
        <w:tblLook w:val="0000"/>
      </w:tblPr>
      <w:tblGrid>
        <w:gridCol w:w="1080"/>
        <w:gridCol w:w="1225"/>
        <w:gridCol w:w="1515"/>
        <w:gridCol w:w="1738"/>
      </w:tblGrid>
      <w:tr w:rsidR="00000000">
        <w:trPr>
          <w:trHeight w:val="300"/>
          <w:jc w:val="center"/>
        </w:trPr>
        <w:tc>
          <w:tcPr>
            <w:tcW w:w="5558" w:type="dxa"/>
            <w:gridSpan w:val="4"/>
            <w:tcBorders>
              <w:top w:val="nil"/>
              <w:left w:val="nil"/>
              <w:bottom w:val="single" w:sz="4" w:space="0" w:color="000000"/>
              <w:right w:val="nil"/>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b/>
                <w:sz w:val="28"/>
                <w:szCs w:val="28"/>
              </w:rPr>
            </w:pPr>
            <w:r>
              <w:rPr>
                <w:rFonts w:ascii="楷体_GB2312" w:eastAsia="楷体_GB2312" w:hAnsi="楷体_GB2312" w:cs="楷体_GB2312" w:hint="eastAsia"/>
                <w:b/>
                <w:kern w:val="0"/>
                <w:sz w:val="28"/>
                <w:szCs w:val="28"/>
              </w:rPr>
              <w:lastRenderedPageBreak/>
              <w:t>表</w:t>
            </w:r>
            <w:r>
              <w:rPr>
                <w:rFonts w:ascii="楷体_GB2312" w:eastAsia="楷体_GB2312" w:hAnsi="楷体_GB2312" w:cs="楷体_GB2312" w:hint="eastAsia"/>
                <w:b/>
                <w:kern w:val="0"/>
                <w:sz w:val="28"/>
                <w:szCs w:val="28"/>
              </w:rPr>
              <w:t xml:space="preserve">1-5  </w:t>
            </w:r>
            <w:r>
              <w:rPr>
                <w:rFonts w:ascii="楷体_GB2312" w:eastAsia="楷体_GB2312" w:hAnsi="楷体_GB2312" w:cs="楷体_GB2312" w:hint="eastAsia"/>
                <w:b/>
                <w:kern w:val="0"/>
                <w:sz w:val="28"/>
                <w:szCs w:val="28"/>
              </w:rPr>
              <w:t>各省市生源毕业生年终就业率统计表</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序号</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省份</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毕业生人数</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就业率</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w:t>
            </w:r>
          </w:p>
        </w:tc>
        <w:tc>
          <w:tcPr>
            <w:tcW w:w="1225"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江苏省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1555</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97.56%</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2</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安徽省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51</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3</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福建省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20</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4</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广东省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300"/>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5</w:t>
            </w:r>
          </w:p>
        </w:tc>
        <w:tc>
          <w:tcPr>
            <w:tcW w:w="122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山东省</w:t>
            </w:r>
          </w:p>
        </w:tc>
        <w:tc>
          <w:tcPr>
            <w:tcW w:w="1515"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w:t>
            </w:r>
          </w:p>
        </w:tc>
        <w:tc>
          <w:tcPr>
            <w:tcW w:w="1738"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300"/>
          <w:jc w:val="center"/>
        </w:trPr>
        <w:tc>
          <w:tcPr>
            <w:tcW w:w="1080" w:type="dxa"/>
            <w:tcBorders>
              <w:top w:val="nil"/>
              <w:left w:val="single" w:sz="4" w:space="0" w:color="000000"/>
              <w:bottom w:val="single" w:sz="4" w:space="0" w:color="auto"/>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6</w:t>
            </w:r>
          </w:p>
        </w:tc>
        <w:tc>
          <w:tcPr>
            <w:tcW w:w="1225" w:type="dxa"/>
            <w:tcBorders>
              <w:top w:val="nil"/>
              <w:left w:val="nil"/>
              <w:bottom w:val="single" w:sz="4" w:space="0" w:color="auto"/>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上海市</w:t>
            </w:r>
          </w:p>
        </w:tc>
        <w:tc>
          <w:tcPr>
            <w:tcW w:w="1515" w:type="dxa"/>
            <w:tcBorders>
              <w:top w:val="nil"/>
              <w:left w:val="nil"/>
              <w:bottom w:val="single" w:sz="4" w:space="0" w:color="auto"/>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27</w:t>
            </w:r>
          </w:p>
        </w:tc>
        <w:tc>
          <w:tcPr>
            <w:tcW w:w="1738" w:type="dxa"/>
            <w:tcBorders>
              <w:top w:val="nil"/>
              <w:left w:val="nil"/>
              <w:bottom w:val="single" w:sz="4" w:space="0" w:color="auto"/>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w:t>
            </w:r>
            <w:r>
              <w:rPr>
                <w:rFonts w:ascii="楷体_GB2312" w:eastAsia="楷体_GB2312" w:hAnsi="楷体_GB2312" w:cs="楷体_GB2312" w:hint="eastAsia"/>
                <w:sz w:val="24"/>
                <w:szCs w:val="24"/>
              </w:rPr>
              <w:t>.00%</w:t>
            </w:r>
          </w:p>
        </w:tc>
      </w:tr>
      <w:tr w:rsidR="00000000">
        <w:trPr>
          <w:trHeight w:val="300"/>
          <w:jc w:val="center"/>
        </w:trPr>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7</w:t>
            </w:r>
          </w:p>
        </w:tc>
        <w:tc>
          <w:tcPr>
            <w:tcW w:w="12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浙江省</w:t>
            </w:r>
          </w:p>
        </w:tc>
        <w:tc>
          <w:tcPr>
            <w:tcW w:w="15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kern w:val="0"/>
                <w:sz w:val="24"/>
                <w:szCs w:val="24"/>
              </w:rPr>
              <w:t>65</w:t>
            </w:r>
          </w:p>
        </w:tc>
        <w:tc>
          <w:tcPr>
            <w:tcW w:w="1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300"/>
          <w:jc w:val="center"/>
        </w:trPr>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8</w:t>
            </w:r>
          </w:p>
        </w:tc>
        <w:tc>
          <w:tcPr>
            <w:tcW w:w="12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甘肃省</w:t>
            </w:r>
          </w:p>
        </w:tc>
        <w:tc>
          <w:tcPr>
            <w:tcW w:w="15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19</w:t>
            </w:r>
          </w:p>
        </w:tc>
        <w:tc>
          <w:tcPr>
            <w:tcW w:w="1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300"/>
          <w:jc w:val="center"/>
        </w:trPr>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9</w:t>
            </w:r>
          </w:p>
        </w:tc>
        <w:tc>
          <w:tcPr>
            <w:tcW w:w="12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重庆市</w:t>
            </w:r>
          </w:p>
        </w:tc>
        <w:tc>
          <w:tcPr>
            <w:tcW w:w="15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8</w:t>
            </w:r>
          </w:p>
        </w:tc>
        <w:tc>
          <w:tcPr>
            <w:tcW w:w="1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300"/>
          <w:jc w:val="center"/>
        </w:trPr>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10</w:t>
            </w:r>
          </w:p>
        </w:tc>
        <w:tc>
          <w:tcPr>
            <w:tcW w:w="12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四川省</w:t>
            </w:r>
          </w:p>
        </w:tc>
        <w:tc>
          <w:tcPr>
            <w:tcW w:w="15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20</w:t>
            </w:r>
          </w:p>
        </w:tc>
        <w:tc>
          <w:tcPr>
            <w:tcW w:w="1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300"/>
          <w:jc w:val="center"/>
        </w:trPr>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11</w:t>
            </w:r>
          </w:p>
        </w:tc>
        <w:tc>
          <w:tcPr>
            <w:tcW w:w="12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广西省</w:t>
            </w:r>
          </w:p>
        </w:tc>
        <w:tc>
          <w:tcPr>
            <w:tcW w:w="15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24</w:t>
            </w:r>
          </w:p>
        </w:tc>
        <w:tc>
          <w:tcPr>
            <w:tcW w:w="1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300"/>
          <w:jc w:val="center"/>
        </w:trPr>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12</w:t>
            </w:r>
          </w:p>
        </w:tc>
        <w:tc>
          <w:tcPr>
            <w:tcW w:w="12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山西省</w:t>
            </w:r>
          </w:p>
        </w:tc>
        <w:tc>
          <w:tcPr>
            <w:tcW w:w="15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10</w:t>
            </w:r>
          </w:p>
        </w:tc>
        <w:tc>
          <w:tcPr>
            <w:tcW w:w="1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300"/>
          <w:jc w:val="center"/>
        </w:trPr>
        <w:tc>
          <w:tcPr>
            <w:tcW w:w="10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13</w:t>
            </w:r>
          </w:p>
        </w:tc>
        <w:tc>
          <w:tcPr>
            <w:tcW w:w="122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湖北省</w:t>
            </w:r>
          </w:p>
        </w:tc>
        <w:tc>
          <w:tcPr>
            <w:tcW w:w="15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1</w:t>
            </w:r>
          </w:p>
        </w:tc>
        <w:tc>
          <w:tcPr>
            <w:tcW w:w="173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bl>
    <w:p w:rsidR="00000000" w:rsidRDefault="009A1129">
      <w:pPr>
        <w:pStyle w:val="aa"/>
        <w:ind w:firstLineChars="200" w:firstLine="5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在江苏省</w:t>
      </w:r>
      <w:r>
        <w:rPr>
          <w:rFonts w:ascii="楷体_GB2312" w:eastAsia="楷体_GB2312" w:hAnsi="楷体_GB2312" w:cs="楷体_GB2312" w:hint="eastAsia"/>
          <w:sz w:val="28"/>
          <w:szCs w:val="28"/>
        </w:rPr>
        <w:t>13</w:t>
      </w:r>
      <w:r>
        <w:rPr>
          <w:rFonts w:ascii="楷体_GB2312" w:eastAsia="楷体_GB2312" w:hAnsi="楷体_GB2312" w:cs="楷体_GB2312" w:hint="eastAsia"/>
          <w:sz w:val="28"/>
          <w:szCs w:val="28"/>
        </w:rPr>
        <w:t>个地级市中，南京、宿迁、无锡</w:t>
      </w:r>
      <w:r>
        <w:rPr>
          <w:rFonts w:ascii="楷体_GB2312" w:eastAsia="楷体_GB2312" w:hAnsi="楷体_GB2312" w:cs="楷体_GB2312" w:hint="eastAsia"/>
          <w:sz w:val="28"/>
          <w:szCs w:val="28"/>
        </w:rPr>
        <w:t>3</w:t>
      </w:r>
      <w:r>
        <w:rPr>
          <w:rFonts w:ascii="楷体_GB2312" w:eastAsia="楷体_GB2312" w:hAnsi="楷体_GB2312" w:cs="楷体_GB2312" w:hint="eastAsia"/>
          <w:sz w:val="28"/>
          <w:szCs w:val="28"/>
        </w:rPr>
        <w:t>个市生源的毕业生就业率均为</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，占地级市总数的</w:t>
      </w:r>
      <w:r>
        <w:rPr>
          <w:rFonts w:ascii="楷体_GB2312" w:eastAsia="楷体_GB2312" w:hAnsi="楷体_GB2312" w:cs="楷体_GB2312" w:hint="eastAsia"/>
          <w:sz w:val="28"/>
          <w:szCs w:val="28"/>
        </w:rPr>
        <w:t>23%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见表</w:t>
      </w:r>
      <w:r>
        <w:rPr>
          <w:rFonts w:ascii="楷体_GB2312" w:eastAsia="楷体_GB2312" w:hAnsi="楷体_GB2312" w:cs="楷体_GB2312" w:hint="eastAsia"/>
          <w:sz w:val="28"/>
          <w:szCs w:val="28"/>
        </w:rPr>
        <w:t>1-6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tbl>
      <w:tblPr>
        <w:tblW w:w="0" w:type="auto"/>
        <w:jc w:val="center"/>
        <w:tblInd w:w="0" w:type="dxa"/>
        <w:tblLayout w:type="fixed"/>
        <w:tblCellMar>
          <w:left w:w="0" w:type="dxa"/>
          <w:right w:w="0" w:type="dxa"/>
        </w:tblCellMar>
        <w:tblLook w:val="0000"/>
      </w:tblPr>
      <w:tblGrid>
        <w:gridCol w:w="1080"/>
        <w:gridCol w:w="1080"/>
        <w:gridCol w:w="1800"/>
        <w:gridCol w:w="1080"/>
      </w:tblGrid>
      <w:tr w:rsidR="00000000">
        <w:trPr>
          <w:trHeight w:val="478"/>
          <w:jc w:val="center"/>
        </w:trPr>
        <w:tc>
          <w:tcPr>
            <w:tcW w:w="5040" w:type="dxa"/>
            <w:gridSpan w:val="4"/>
            <w:tcBorders>
              <w:top w:val="nil"/>
              <w:left w:val="nil"/>
              <w:bottom w:val="single" w:sz="4" w:space="0" w:color="000000"/>
              <w:right w:val="nil"/>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b/>
                <w:sz w:val="28"/>
                <w:szCs w:val="28"/>
              </w:rPr>
            </w:pPr>
            <w:r>
              <w:rPr>
                <w:rFonts w:ascii="楷体_GB2312" w:eastAsia="楷体_GB2312" w:hAnsi="楷体_GB2312" w:cs="楷体_GB2312" w:hint="eastAsia"/>
                <w:b/>
                <w:kern w:val="0"/>
                <w:sz w:val="28"/>
                <w:szCs w:val="28"/>
              </w:rPr>
              <w:t>表</w:t>
            </w:r>
            <w:r>
              <w:rPr>
                <w:rFonts w:ascii="楷体_GB2312" w:eastAsia="楷体_GB2312" w:hAnsi="楷体_GB2312" w:cs="楷体_GB2312" w:hint="eastAsia"/>
                <w:b/>
                <w:kern w:val="0"/>
                <w:sz w:val="28"/>
                <w:szCs w:val="28"/>
              </w:rPr>
              <w:t xml:space="preserve">1-6  </w:t>
            </w:r>
            <w:r>
              <w:rPr>
                <w:rFonts w:ascii="楷体_GB2312" w:eastAsia="楷体_GB2312" w:hAnsi="楷体_GB2312" w:cs="楷体_GB2312" w:hint="eastAsia"/>
                <w:b/>
                <w:kern w:val="0"/>
                <w:sz w:val="28"/>
                <w:szCs w:val="28"/>
              </w:rPr>
              <w:t>江苏省各市毕业生就业率统计</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序号</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辖市</w:t>
            </w:r>
          </w:p>
        </w:tc>
        <w:tc>
          <w:tcPr>
            <w:tcW w:w="180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本科生人数</w:t>
            </w:r>
          </w:p>
        </w:tc>
        <w:tc>
          <w:tcPr>
            <w:tcW w:w="1080" w:type="dxa"/>
            <w:tcBorders>
              <w:top w:val="nil"/>
              <w:left w:val="nil"/>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b/>
                <w:sz w:val="24"/>
                <w:szCs w:val="24"/>
              </w:rPr>
            </w:pPr>
            <w:r>
              <w:rPr>
                <w:rFonts w:ascii="楷体_GB2312" w:eastAsia="楷体_GB2312" w:hAnsi="楷体_GB2312" w:cs="楷体_GB2312" w:hint="eastAsia"/>
                <w:b/>
                <w:kern w:val="0"/>
                <w:sz w:val="24"/>
                <w:szCs w:val="24"/>
              </w:rPr>
              <w:t>就业率</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常州市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60</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96.67%</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2</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淮安市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59</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98.31%</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3</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连云港</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36</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97.22%</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4</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南京市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34</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5</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南通市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499</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99.00%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6</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苏州市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247</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92.71%</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7</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宿迁市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132</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8</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泰州市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96</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98.96%</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9</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无锡市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99</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100.00%</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10</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徐州市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48</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93.75%</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11</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盐城市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128</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97.66%</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12</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扬州市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72</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97.61%</w:t>
            </w:r>
          </w:p>
        </w:tc>
      </w:tr>
      <w:tr w:rsidR="00000000">
        <w:trPr>
          <w:trHeight w:val="285"/>
          <w:jc w:val="center"/>
        </w:trPr>
        <w:tc>
          <w:tcPr>
            <w:tcW w:w="1080" w:type="dxa"/>
            <w:tcBorders>
              <w:top w:val="nil"/>
              <w:left w:val="single" w:sz="4" w:space="0" w:color="000000"/>
              <w:bottom w:val="single" w:sz="4" w:space="0" w:color="000000"/>
              <w:right w:val="single" w:sz="4" w:space="0" w:color="000000"/>
            </w:tcBorders>
            <w:tcMar>
              <w:top w:w="15" w:type="dxa"/>
              <w:left w:w="15" w:type="dxa"/>
              <w:right w:w="15" w:type="dxa"/>
            </w:tcMar>
            <w:vAlign w:val="bottom"/>
          </w:tcPr>
          <w:p w:rsidR="00000000" w:rsidRDefault="009A1129">
            <w:pPr>
              <w:widowControl/>
              <w:jc w:val="center"/>
              <w:textAlignment w:val="bottom"/>
              <w:rPr>
                <w:rFonts w:ascii="楷体_GB2312" w:eastAsia="楷体_GB2312" w:hAnsi="楷体_GB2312" w:cs="楷体_GB2312"/>
                <w:sz w:val="24"/>
                <w:szCs w:val="24"/>
              </w:rPr>
            </w:pPr>
            <w:r>
              <w:rPr>
                <w:rFonts w:ascii="楷体_GB2312" w:eastAsia="楷体_GB2312" w:hAnsi="楷体_GB2312" w:cs="楷体_GB2312" w:hint="eastAsia"/>
                <w:kern w:val="0"/>
                <w:sz w:val="24"/>
                <w:szCs w:val="24"/>
              </w:rPr>
              <w:t>13</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kern w:val="0"/>
                <w:sz w:val="24"/>
                <w:szCs w:val="24"/>
              </w:rPr>
              <w:t>镇江市</w:t>
            </w:r>
          </w:p>
        </w:tc>
        <w:tc>
          <w:tcPr>
            <w:tcW w:w="180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bottom"/>
              <w:rPr>
                <w:rFonts w:ascii="楷体_GB2312" w:eastAsia="楷体_GB2312" w:hAnsi="楷体_GB2312" w:cs="楷体_GB2312" w:hint="eastAsia"/>
                <w:kern w:val="0"/>
                <w:sz w:val="24"/>
                <w:szCs w:val="24"/>
              </w:rPr>
            </w:pPr>
            <w:r>
              <w:rPr>
                <w:rFonts w:ascii="楷体_GB2312" w:eastAsia="楷体_GB2312" w:hAnsi="楷体_GB2312" w:cs="楷体_GB2312" w:hint="eastAsia"/>
                <w:kern w:val="0"/>
                <w:sz w:val="24"/>
                <w:szCs w:val="24"/>
              </w:rPr>
              <w:t>45</w:t>
            </w:r>
          </w:p>
        </w:tc>
        <w:tc>
          <w:tcPr>
            <w:tcW w:w="1080" w:type="dxa"/>
            <w:tcBorders>
              <w:top w:val="nil"/>
              <w:left w:val="nil"/>
              <w:bottom w:val="single" w:sz="4" w:space="0" w:color="000000"/>
              <w:right w:val="single" w:sz="4" w:space="0" w:color="000000"/>
            </w:tcBorders>
            <w:tcMar>
              <w:top w:w="15" w:type="dxa"/>
              <w:left w:w="15" w:type="dxa"/>
              <w:right w:w="15" w:type="dxa"/>
            </w:tcMar>
            <w:vAlign w:val="center"/>
          </w:tcPr>
          <w:p w:rsidR="00000000" w:rsidRDefault="009A1129">
            <w:pPr>
              <w:widowControl/>
              <w:jc w:val="center"/>
              <w:textAlignment w:val="center"/>
              <w:rPr>
                <w:rFonts w:ascii="楷体_GB2312" w:eastAsia="楷体_GB2312" w:hAnsi="楷体_GB2312" w:cs="楷体_GB2312" w:hint="eastAsia"/>
                <w:sz w:val="24"/>
                <w:szCs w:val="24"/>
              </w:rPr>
            </w:pPr>
            <w:r>
              <w:rPr>
                <w:rFonts w:ascii="楷体_GB2312" w:eastAsia="楷体_GB2312" w:hAnsi="楷体_GB2312" w:cs="楷体_GB2312" w:hint="eastAsia"/>
                <w:sz w:val="24"/>
                <w:szCs w:val="24"/>
              </w:rPr>
              <w:t>93.33%</w:t>
            </w:r>
          </w:p>
        </w:tc>
      </w:tr>
    </w:tbl>
    <w:p w:rsidR="00000000" w:rsidRDefault="009A1129">
      <w:pPr>
        <w:spacing w:line="480" w:lineRule="auto"/>
        <w:jc w:val="left"/>
        <w:rPr>
          <w:rFonts w:ascii="楷体_GB2312" w:eastAsia="楷体_GB2312" w:hAnsi="楷体_GB2312" w:cs="楷体_GB2312" w:hint="eastAsia"/>
          <w:b/>
          <w:bCs/>
          <w:sz w:val="32"/>
          <w:szCs w:val="32"/>
        </w:rPr>
      </w:pPr>
    </w:p>
    <w:p w:rsidR="00000000" w:rsidRDefault="009A1129">
      <w:pPr>
        <w:spacing w:line="480" w:lineRule="auto"/>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四、毕业流向</w:t>
      </w:r>
    </w:p>
    <w:p w:rsidR="00000000" w:rsidRDefault="009A1129">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32"/>
          <w:szCs w:val="32"/>
        </w:rPr>
        <w:t>（一）</w:t>
      </w:r>
      <w:r>
        <w:rPr>
          <w:rFonts w:ascii="楷体_GB2312" w:eastAsia="楷体_GB2312" w:hAnsi="楷体_GB2312" w:cs="楷体_GB2312" w:hint="eastAsia"/>
          <w:b/>
          <w:sz w:val="28"/>
          <w:szCs w:val="28"/>
        </w:rPr>
        <w:t>毕业生总体流向</w:t>
      </w:r>
    </w:p>
    <w:p w:rsidR="00000000" w:rsidRDefault="009A1129">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lastRenderedPageBreak/>
        <w:t>截至</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年</w:t>
      </w:r>
      <w:r>
        <w:rPr>
          <w:rFonts w:ascii="楷体_GB2312" w:eastAsia="楷体_GB2312" w:hAnsi="楷体_GB2312" w:cs="楷体_GB2312" w:hint="eastAsia"/>
          <w:sz w:val="28"/>
          <w:szCs w:val="28"/>
        </w:rPr>
        <w:t>12</w:t>
      </w:r>
      <w:r>
        <w:rPr>
          <w:rFonts w:ascii="楷体_GB2312" w:eastAsia="楷体_GB2312" w:hAnsi="楷体_GB2312" w:cs="楷体_GB2312" w:hint="eastAsia"/>
          <w:sz w:val="28"/>
          <w:szCs w:val="28"/>
        </w:rPr>
        <w:t>月</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5</w:t>
      </w:r>
      <w:r>
        <w:rPr>
          <w:rFonts w:ascii="楷体_GB2312" w:eastAsia="楷体_GB2312" w:hAnsi="楷体_GB2312" w:cs="楷体_GB2312" w:hint="eastAsia"/>
          <w:sz w:val="28"/>
          <w:szCs w:val="28"/>
        </w:rPr>
        <w:t>日，全院</w:t>
      </w:r>
      <w:r>
        <w:rPr>
          <w:rFonts w:ascii="楷体_GB2312" w:eastAsia="楷体_GB2312" w:hAnsi="楷体_GB2312" w:cs="楷体_GB2312" w:hint="eastAsia"/>
          <w:sz w:val="28"/>
          <w:szCs w:val="28"/>
        </w:rPr>
        <w:t>1</w:t>
      </w:r>
      <w:r>
        <w:rPr>
          <w:rFonts w:ascii="楷体_GB2312" w:eastAsia="楷体_GB2312" w:hAnsi="楷体_GB2312" w:cs="楷体_GB2312" w:hint="eastAsia"/>
          <w:sz w:val="28"/>
          <w:szCs w:val="28"/>
        </w:rPr>
        <w:t>811</w:t>
      </w:r>
      <w:r>
        <w:rPr>
          <w:rFonts w:ascii="楷体_GB2312" w:eastAsia="楷体_GB2312" w:hAnsi="楷体_GB2312" w:cs="楷体_GB2312" w:hint="eastAsia"/>
          <w:sz w:val="28"/>
          <w:szCs w:val="28"/>
        </w:rPr>
        <w:t>名毕业生中，</w:t>
      </w:r>
      <w:r>
        <w:rPr>
          <w:rFonts w:ascii="楷体_GB2312" w:eastAsia="楷体_GB2312" w:hAnsi="楷体_GB2312" w:cs="楷体_GB2312" w:hint="eastAsia"/>
          <w:sz w:val="28"/>
          <w:szCs w:val="28"/>
        </w:rPr>
        <w:t>单位</w:t>
      </w:r>
      <w:r>
        <w:rPr>
          <w:rFonts w:ascii="楷体_GB2312" w:eastAsia="楷体_GB2312" w:hAnsi="楷体_GB2312" w:cs="楷体_GB2312" w:hint="eastAsia"/>
          <w:sz w:val="28"/>
          <w:szCs w:val="28"/>
        </w:rPr>
        <w:t>就业率</w:t>
      </w:r>
      <w:r>
        <w:rPr>
          <w:rFonts w:ascii="楷体_GB2312" w:eastAsia="楷体_GB2312" w:hAnsi="楷体_GB2312" w:cs="楷体_GB2312" w:hint="eastAsia"/>
          <w:sz w:val="28"/>
          <w:szCs w:val="28"/>
        </w:rPr>
        <w:t>为</w:t>
      </w:r>
      <w:r>
        <w:rPr>
          <w:rFonts w:ascii="楷体_GB2312" w:eastAsia="楷体_GB2312" w:hAnsi="楷体_GB2312" w:cs="楷体_GB2312" w:hint="eastAsia"/>
          <w:sz w:val="28"/>
          <w:szCs w:val="28"/>
        </w:rPr>
        <w:t>88.24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，升学出国率为</w:t>
      </w:r>
      <w:r>
        <w:rPr>
          <w:rFonts w:ascii="楷体_GB2312" w:eastAsia="楷体_GB2312" w:hAnsi="楷体_GB2312" w:cs="楷体_GB2312" w:hint="eastAsia"/>
          <w:sz w:val="28"/>
          <w:szCs w:val="28"/>
        </w:rPr>
        <w:t>4.36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灵活就业率为</w:t>
      </w:r>
      <w:r>
        <w:rPr>
          <w:rFonts w:ascii="楷体_GB2312" w:eastAsia="楷体_GB2312" w:hAnsi="楷体_GB2312" w:cs="楷体_GB2312" w:hint="eastAsia"/>
          <w:sz w:val="28"/>
          <w:szCs w:val="28"/>
        </w:rPr>
        <w:t>5.19</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，未就业率为</w:t>
      </w:r>
      <w:r>
        <w:rPr>
          <w:rFonts w:ascii="楷体_GB2312" w:eastAsia="楷体_GB2312" w:hAnsi="楷体_GB2312" w:cs="楷体_GB2312" w:hint="eastAsia"/>
          <w:sz w:val="28"/>
          <w:szCs w:val="28"/>
        </w:rPr>
        <w:t>2.21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1-6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p w:rsidR="00000000" w:rsidRDefault="006666D3">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211551" cy="2525636"/>
            <wp:effectExtent l="4095" t="4092" r="13454" b="13447"/>
            <wp:docPr id="9"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00000" w:rsidRDefault="009A1129">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1-6  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届毕业生总体流向</w:t>
      </w:r>
    </w:p>
    <w:p w:rsidR="00000000" w:rsidRDefault="009A1129">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1</w:t>
      </w: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协议</w:t>
      </w:r>
      <w:r>
        <w:rPr>
          <w:rFonts w:ascii="楷体_GB2312" w:eastAsia="楷体_GB2312" w:hAnsi="楷体_GB2312" w:cs="楷体_GB2312" w:hint="eastAsia"/>
          <w:b/>
          <w:sz w:val="28"/>
          <w:szCs w:val="28"/>
        </w:rPr>
        <w:t>就业情况</w:t>
      </w:r>
    </w:p>
    <w:p w:rsidR="00000000" w:rsidRDefault="009A1129">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协议就业率包括单位就业率、升学出国率和灵活就业率。</w:t>
      </w:r>
      <w:r>
        <w:rPr>
          <w:rFonts w:ascii="楷体_GB2312" w:eastAsia="楷体_GB2312" w:hAnsi="楷体_GB2312" w:cs="楷体_GB2312" w:hint="eastAsia"/>
          <w:sz w:val="28"/>
          <w:szCs w:val="28"/>
        </w:rPr>
        <w:t>2017</w:t>
      </w:r>
      <w:r>
        <w:rPr>
          <w:rFonts w:ascii="楷体_GB2312" w:eastAsia="楷体_GB2312" w:hAnsi="楷体_GB2312" w:cs="楷体_GB2312" w:hint="eastAsia"/>
          <w:sz w:val="28"/>
          <w:szCs w:val="28"/>
        </w:rPr>
        <w:t>届毕业生协议就业率为</w:t>
      </w:r>
      <w:r>
        <w:rPr>
          <w:rFonts w:ascii="楷体_GB2312" w:eastAsia="楷体_GB2312" w:hAnsi="楷体_GB2312" w:cs="楷体_GB2312" w:hint="eastAsia"/>
          <w:sz w:val="28"/>
          <w:szCs w:val="28"/>
        </w:rPr>
        <w:t>92.6%</w:t>
      </w:r>
      <w:r>
        <w:rPr>
          <w:rFonts w:ascii="楷体_GB2312" w:eastAsia="楷体_GB2312" w:hAnsi="楷体_GB2312" w:cs="楷体_GB2312" w:hint="eastAsia"/>
          <w:sz w:val="28"/>
          <w:szCs w:val="28"/>
        </w:rPr>
        <w:t>，各</w:t>
      </w:r>
      <w:r>
        <w:rPr>
          <w:rFonts w:ascii="楷体_GB2312" w:eastAsia="楷体_GB2312" w:hAnsi="楷体_GB2312" w:cs="楷体_GB2312" w:hint="eastAsia"/>
          <w:sz w:val="28"/>
          <w:szCs w:val="28"/>
        </w:rPr>
        <w:t>学部</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w:t>
      </w:r>
      <w:r>
        <w:rPr>
          <w:rFonts w:ascii="楷体_GB2312" w:eastAsia="楷体_GB2312" w:hAnsi="楷体_GB2312" w:cs="楷体_GB2312" w:hint="eastAsia"/>
          <w:sz w:val="28"/>
          <w:szCs w:val="28"/>
        </w:rPr>
        <w:t>协议</w:t>
      </w:r>
      <w:r>
        <w:rPr>
          <w:rFonts w:ascii="楷体_GB2312" w:eastAsia="楷体_GB2312" w:hAnsi="楷体_GB2312" w:cs="楷体_GB2312" w:hint="eastAsia"/>
          <w:sz w:val="28"/>
          <w:szCs w:val="28"/>
        </w:rPr>
        <w:t>就业情况</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1-7</w:t>
      </w:r>
      <w:r>
        <w:rPr>
          <w:rFonts w:ascii="楷体_GB2312" w:eastAsia="楷体_GB2312" w:hAnsi="楷体_GB2312" w:cs="楷体_GB2312" w:hint="eastAsia"/>
          <w:sz w:val="28"/>
          <w:szCs w:val="28"/>
        </w:rPr>
        <w:t>。</w:t>
      </w:r>
    </w:p>
    <w:p w:rsidR="00000000" w:rsidRDefault="006666D3">
      <w:pPr>
        <w:spacing w:line="480" w:lineRule="auto"/>
        <w:ind w:firstLineChars="200" w:firstLine="420"/>
        <w:rPr>
          <w:rFonts w:ascii="楷体_GB2312" w:eastAsia="楷体_GB2312" w:hAnsi="楷体_GB2312" w:cs="楷体_GB2312"/>
        </w:rPr>
      </w:pPr>
      <w:r>
        <w:rPr>
          <w:noProof/>
        </w:rPr>
        <w:drawing>
          <wp:inline distT="0" distB="0" distL="0" distR="0">
            <wp:extent cx="4590971" cy="2194560"/>
            <wp:effectExtent l="4463" t="3556" r="14666" b="11684"/>
            <wp:docPr id="10" name="图片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00000" w:rsidRDefault="009A1129">
      <w:pPr>
        <w:spacing w:line="480" w:lineRule="auto"/>
        <w:ind w:firstLineChars="200" w:firstLine="562"/>
        <w:jc w:val="center"/>
        <w:rPr>
          <w:rFonts w:ascii="楷体_GB2312" w:eastAsia="楷体_GB2312" w:hAnsi="楷体_GB2312" w:cs="楷体_GB2312" w:hint="eastAsia"/>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1-7  </w:t>
      </w:r>
      <w:r>
        <w:rPr>
          <w:rFonts w:ascii="楷体_GB2312" w:eastAsia="楷体_GB2312" w:hAnsi="楷体_GB2312" w:cs="楷体_GB2312" w:hint="eastAsia"/>
          <w:b/>
          <w:bCs/>
          <w:sz w:val="28"/>
          <w:szCs w:val="28"/>
        </w:rPr>
        <w:t>各学部</w:t>
      </w:r>
      <w:r>
        <w:rPr>
          <w:rFonts w:ascii="楷体_GB2312" w:eastAsia="楷体_GB2312" w:hAnsi="楷体_GB2312" w:cs="楷体_GB2312" w:hint="eastAsia"/>
          <w:b/>
          <w:bCs/>
          <w:sz w:val="28"/>
          <w:szCs w:val="28"/>
        </w:rPr>
        <w:t>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w:t>
      </w:r>
      <w:r>
        <w:rPr>
          <w:rFonts w:ascii="楷体_GB2312" w:eastAsia="楷体_GB2312" w:hAnsi="楷体_GB2312" w:cs="楷体_GB2312" w:hint="eastAsia"/>
          <w:b/>
          <w:bCs/>
          <w:sz w:val="28"/>
          <w:szCs w:val="28"/>
        </w:rPr>
        <w:t>协议</w:t>
      </w:r>
      <w:r>
        <w:rPr>
          <w:rFonts w:ascii="楷体_GB2312" w:eastAsia="楷体_GB2312" w:hAnsi="楷体_GB2312" w:cs="楷体_GB2312" w:hint="eastAsia"/>
          <w:b/>
          <w:bCs/>
          <w:sz w:val="28"/>
          <w:szCs w:val="28"/>
        </w:rPr>
        <w:t>就业率</w:t>
      </w:r>
    </w:p>
    <w:p w:rsidR="00000000" w:rsidRDefault="009A1129">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lastRenderedPageBreak/>
        <w:t>2</w:t>
      </w:r>
      <w:r>
        <w:rPr>
          <w:rFonts w:ascii="楷体_GB2312" w:eastAsia="楷体_GB2312" w:hAnsi="楷体_GB2312" w:cs="楷体_GB2312" w:hint="eastAsia"/>
          <w:b/>
          <w:sz w:val="28"/>
          <w:szCs w:val="28"/>
        </w:rPr>
        <w:t>、升学出国情况</w:t>
      </w:r>
    </w:p>
    <w:p w:rsidR="00000000" w:rsidRDefault="009A1129">
      <w:pPr>
        <w:spacing w:line="480" w:lineRule="auto"/>
        <w:ind w:firstLineChars="200" w:firstLine="562"/>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1</w:t>
      </w:r>
      <w:r>
        <w:rPr>
          <w:rFonts w:ascii="楷体_GB2312" w:eastAsia="楷体_GB2312" w:hAnsi="楷体_GB2312" w:cs="楷体_GB2312" w:hint="eastAsia"/>
          <w:b/>
          <w:sz w:val="28"/>
          <w:szCs w:val="28"/>
        </w:rPr>
        <w:t>）各学部升学出国情况</w:t>
      </w:r>
    </w:p>
    <w:p w:rsidR="00000000" w:rsidRDefault="009A1129">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届毕业生中，毕业去向为考研升学或出国留学的有</w:t>
      </w:r>
      <w:r>
        <w:rPr>
          <w:rFonts w:ascii="楷体_GB2312" w:eastAsia="楷体_GB2312" w:hAnsi="楷体_GB2312" w:cs="楷体_GB2312" w:hint="eastAsia"/>
          <w:sz w:val="28"/>
          <w:szCs w:val="28"/>
        </w:rPr>
        <w:t>79</w:t>
      </w:r>
      <w:r>
        <w:rPr>
          <w:rFonts w:ascii="楷体_GB2312" w:eastAsia="楷体_GB2312" w:hAnsi="楷体_GB2312" w:cs="楷体_GB2312" w:hint="eastAsia"/>
          <w:sz w:val="28"/>
          <w:szCs w:val="28"/>
        </w:rPr>
        <w:t>人，升学出国率为</w:t>
      </w:r>
      <w:r>
        <w:rPr>
          <w:rFonts w:ascii="楷体_GB2312" w:eastAsia="楷体_GB2312" w:hAnsi="楷体_GB2312" w:cs="楷体_GB2312" w:hint="eastAsia"/>
          <w:sz w:val="28"/>
          <w:szCs w:val="28"/>
        </w:rPr>
        <w:t>4.36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。其中</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考研升学的有</w:t>
      </w:r>
      <w:r>
        <w:rPr>
          <w:rFonts w:ascii="楷体_GB2312" w:eastAsia="楷体_GB2312" w:hAnsi="楷体_GB2312" w:cs="楷体_GB2312" w:hint="eastAsia"/>
          <w:sz w:val="28"/>
          <w:szCs w:val="28"/>
        </w:rPr>
        <w:t>72</w:t>
      </w:r>
      <w:r>
        <w:rPr>
          <w:rFonts w:ascii="楷体_GB2312" w:eastAsia="楷体_GB2312" w:hAnsi="楷体_GB2312" w:cs="楷体_GB2312" w:hint="eastAsia"/>
          <w:sz w:val="28"/>
          <w:szCs w:val="28"/>
        </w:rPr>
        <w:t>人</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占比</w:t>
      </w:r>
      <w:r>
        <w:rPr>
          <w:rFonts w:ascii="楷体_GB2312" w:eastAsia="楷体_GB2312" w:hAnsi="楷体_GB2312" w:cs="楷体_GB2312" w:hint="eastAsia"/>
          <w:sz w:val="28"/>
          <w:szCs w:val="28"/>
        </w:rPr>
        <w:t>为</w:t>
      </w:r>
      <w:r>
        <w:rPr>
          <w:rFonts w:ascii="楷体_GB2312" w:eastAsia="楷体_GB2312" w:hAnsi="楷体_GB2312" w:cs="楷体_GB2312" w:hint="eastAsia"/>
          <w:sz w:val="28"/>
          <w:szCs w:val="28"/>
        </w:rPr>
        <w:t>3.98</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出国留学的有</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人</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占比为</w:t>
      </w:r>
      <w:r>
        <w:rPr>
          <w:rFonts w:ascii="楷体_GB2312" w:eastAsia="楷体_GB2312" w:hAnsi="楷体_GB2312" w:cs="楷体_GB2312" w:hint="eastAsia"/>
          <w:sz w:val="28"/>
          <w:szCs w:val="28"/>
        </w:rPr>
        <w:t>0.39</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。各学部升学出国情况见图</w:t>
      </w:r>
      <w:r>
        <w:rPr>
          <w:rFonts w:ascii="楷体_GB2312" w:eastAsia="楷体_GB2312" w:hAnsi="楷体_GB2312" w:cs="楷体_GB2312" w:hint="eastAsia"/>
          <w:sz w:val="28"/>
          <w:szCs w:val="28"/>
        </w:rPr>
        <w:t>1-8</w:t>
      </w:r>
      <w:r>
        <w:rPr>
          <w:rFonts w:ascii="楷体_GB2312" w:eastAsia="楷体_GB2312" w:hAnsi="楷体_GB2312" w:cs="楷体_GB2312" w:hint="eastAsia"/>
          <w:sz w:val="28"/>
          <w:szCs w:val="28"/>
        </w:rPr>
        <w:t>。</w:t>
      </w:r>
    </w:p>
    <w:p w:rsidR="00000000" w:rsidRDefault="006666D3">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553032" cy="2326990"/>
            <wp:effectExtent l="4426" t="3771" r="14542" b="12389"/>
            <wp:docPr id="11"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00000" w:rsidRDefault="009A1129">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1-8  </w:t>
      </w:r>
      <w:r>
        <w:rPr>
          <w:rFonts w:ascii="楷体_GB2312" w:eastAsia="楷体_GB2312" w:hAnsi="楷体_GB2312" w:cs="楷体_GB2312" w:hint="eastAsia"/>
          <w:b/>
          <w:bCs/>
          <w:sz w:val="28"/>
          <w:szCs w:val="28"/>
        </w:rPr>
        <w:t>各学部</w:t>
      </w:r>
      <w:r>
        <w:rPr>
          <w:rFonts w:ascii="楷体_GB2312" w:eastAsia="楷体_GB2312" w:hAnsi="楷体_GB2312" w:cs="楷体_GB2312" w:hint="eastAsia"/>
          <w:b/>
          <w:bCs/>
          <w:sz w:val="28"/>
          <w:szCs w:val="28"/>
        </w:rPr>
        <w:t>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届毕业生升学出国率</w:t>
      </w:r>
    </w:p>
    <w:p w:rsidR="00000000" w:rsidRDefault="009A1129">
      <w:pPr>
        <w:spacing w:line="480" w:lineRule="auto"/>
        <w:ind w:firstLineChars="196" w:firstLine="551"/>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2</w:t>
      </w:r>
      <w:r>
        <w:rPr>
          <w:rFonts w:ascii="楷体_GB2312" w:eastAsia="楷体_GB2312" w:hAnsi="楷体_GB2312" w:cs="楷体_GB2312" w:hint="eastAsia"/>
          <w:b/>
          <w:sz w:val="28"/>
          <w:szCs w:val="28"/>
        </w:rPr>
        <w:t>）升学出国专业与原专业的一致性</w:t>
      </w:r>
    </w:p>
    <w:p w:rsidR="00000000" w:rsidRDefault="009A1129">
      <w:pPr>
        <w:spacing w:line="480" w:lineRule="exact"/>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我院针对升学出国的</w:t>
      </w:r>
      <w:r>
        <w:rPr>
          <w:rFonts w:ascii="楷体_GB2312" w:eastAsia="楷体_GB2312" w:hAnsi="楷体_GB2312" w:cs="楷体_GB2312" w:hint="eastAsia"/>
          <w:sz w:val="28"/>
          <w:szCs w:val="28"/>
        </w:rPr>
        <w:t>79</w:t>
      </w:r>
      <w:r>
        <w:rPr>
          <w:rFonts w:ascii="楷体_GB2312" w:eastAsia="楷体_GB2312" w:hAnsi="楷体_GB2312" w:cs="楷体_GB2312" w:hint="eastAsia"/>
          <w:sz w:val="28"/>
          <w:szCs w:val="28"/>
        </w:rPr>
        <w:t>名学生进行调查</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选择升学出国的毕业生主要集中在临床医学专业，共</w:t>
      </w:r>
      <w:r>
        <w:rPr>
          <w:rFonts w:ascii="楷体_GB2312" w:eastAsia="楷体_GB2312" w:hAnsi="楷体_GB2312" w:cs="楷体_GB2312" w:hint="eastAsia"/>
          <w:sz w:val="28"/>
          <w:szCs w:val="28"/>
        </w:rPr>
        <w:t>22</w:t>
      </w:r>
      <w:r>
        <w:rPr>
          <w:rFonts w:ascii="楷体_GB2312" w:eastAsia="楷体_GB2312" w:hAnsi="楷体_GB2312" w:cs="楷体_GB2312" w:hint="eastAsia"/>
          <w:sz w:val="28"/>
          <w:szCs w:val="28"/>
        </w:rPr>
        <w:t>人，占升学出国总人数的</w:t>
      </w:r>
      <w:r>
        <w:rPr>
          <w:rFonts w:ascii="楷体_GB2312" w:eastAsia="楷体_GB2312" w:hAnsi="楷体_GB2312" w:cs="楷体_GB2312" w:hint="eastAsia"/>
          <w:sz w:val="28"/>
          <w:szCs w:val="28"/>
        </w:rPr>
        <w:t>27.85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。所学专业与原专业一致或相近、相关者</w:t>
      </w:r>
      <w:r>
        <w:rPr>
          <w:rFonts w:ascii="楷体_GB2312" w:eastAsia="楷体_GB2312" w:hAnsi="楷体_GB2312" w:cs="楷体_GB2312" w:hint="eastAsia"/>
          <w:sz w:val="28"/>
          <w:szCs w:val="28"/>
        </w:rPr>
        <w:t>占比</w:t>
      </w:r>
      <w:r>
        <w:rPr>
          <w:rFonts w:ascii="楷体_GB2312" w:eastAsia="楷体_GB2312" w:hAnsi="楷体_GB2312" w:cs="楷体_GB2312" w:hint="eastAsia"/>
          <w:sz w:val="28"/>
          <w:szCs w:val="28"/>
        </w:rPr>
        <w:t>89.15%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表明大部分毕业生是在本专业或相近、相关专业继续深造</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1-9</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p w:rsidR="00000000" w:rsidRDefault="006666D3">
      <w:pPr>
        <w:spacing w:line="480" w:lineRule="auto"/>
        <w:ind w:firstLineChars="200" w:firstLine="420"/>
        <w:jc w:val="center"/>
        <w:rPr>
          <w:rFonts w:ascii="楷体_GB2312" w:eastAsia="楷体_GB2312" w:hAnsi="楷体_GB2312" w:cs="楷体_GB2312"/>
          <w:sz w:val="28"/>
          <w:szCs w:val="28"/>
        </w:rPr>
      </w:pPr>
      <w:r>
        <w:rPr>
          <w:noProof/>
        </w:rPr>
        <w:lastRenderedPageBreak/>
        <w:drawing>
          <wp:inline distT="0" distB="0" distL="0" distR="0">
            <wp:extent cx="4211551" cy="2525636"/>
            <wp:effectExtent l="4095" t="4092" r="13454" b="13447"/>
            <wp:docPr id="12" name="图片 4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00000" w:rsidRDefault="009A1129">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 xml:space="preserve"> </w: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1-9  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届毕业生升学出国专业与原专业一致性情况</w:t>
      </w:r>
    </w:p>
    <w:p w:rsidR="00000000" w:rsidRDefault="009A1129">
      <w:pPr>
        <w:spacing w:line="480" w:lineRule="auto"/>
        <w:ind w:firstLineChars="196" w:firstLine="551"/>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w:t>
      </w:r>
      <w:r>
        <w:rPr>
          <w:rFonts w:ascii="楷体_GB2312" w:eastAsia="楷体_GB2312" w:hAnsi="楷体_GB2312" w:cs="楷体_GB2312" w:hint="eastAsia"/>
          <w:b/>
          <w:sz w:val="28"/>
          <w:szCs w:val="28"/>
        </w:rPr>
        <w:t>3</w:t>
      </w:r>
      <w:r>
        <w:rPr>
          <w:rFonts w:ascii="楷体_GB2312" w:eastAsia="楷体_GB2312" w:hAnsi="楷体_GB2312" w:cs="楷体_GB2312" w:hint="eastAsia"/>
          <w:b/>
          <w:sz w:val="28"/>
          <w:szCs w:val="28"/>
        </w:rPr>
        <w:t>）升学原因</w:t>
      </w:r>
    </w:p>
    <w:p w:rsidR="00000000" w:rsidRDefault="009A1129">
      <w:pPr>
        <w:spacing w:line="480" w:lineRule="exact"/>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w:t>
      </w:r>
      <w:r>
        <w:rPr>
          <w:rFonts w:ascii="楷体_GB2312" w:eastAsia="楷体_GB2312" w:hAnsi="楷体_GB2312" w:cs="楷体_GB2312" w:hint="eastAsia"/>
          <w:sz w:val="28"/>
          <w:szCs w:val="28"/>
        </w:rPr>
        <w:t>生选择升学出国的主要原因是“</w:t>
      </w:r>
      <w:r>
        <w:rPr>
          <w:rFonts w:ascii="楷体_GB2312" w:eastAsia="楷体_GB2312" w:hAnsi="楷体_GB2312" w:cs="楷体_GB2312" w:hint="eastAsia"/>
          <w:sz w:val="28"/>
          <w:szCs w:val="28"/>
        </w:rPr>
        <w:t>提高学历层次</w:t>
      </w:r>
      <w:r>
        <w:rPr>
          <w:rFonts w:ascii="楷体_GB2312" w:eastAsia="楷体_GB2312" w:hAnsi="楷体_GB2312" w:cs="楷体_GB2312" w:hint="eastAsia"/>
          <w:sz w:val="28"/>
          <w:szCs w:val="28"/>
        </w:rPr>
        <w:t>”，占比</w:t>
      </w:r>
      <w:r>
        <w:rPr>
          <w:rFonts w:ascii="楷体_GB2312" w:eastAsia="楷体_GB2312" w:hAnsi="楷体_GB2312" w:cs="楷体_GB2312" w:hint="eastAsia"/>
          <w:sz w:val="28"/>
          <w:szCs w:val="28"/>
        </w:rPr>
        <w:t>45.75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；其次是“</w:t>
      </w:r>
      <w:r>
        <w:rPr>
          <w:rFonts w:ascii="楷体_GB2312" w:eastAsia="楷体_GB2312" w:hAnsi="楷体_GB2312" w:cs="楷体_GB2312" w:hint="eastAsia"/>
          <w:sz w:val="28"/>
          <w:szCs w:val="28"/>
        </w:rPr>
        <w:t>专业深造</w:t>
      </w:r>
      <w:r>
        <w:rPr>
          <w:rFonts w:ascii="楷体_GB2312" w:eastAsia="楷体_GB2312" w:hAnsi="楷体_GB2312" w:cs="楷体_GB2312" w:hint="eastAsia"/>
          <w:sz w:val="28"/>
          <w:szCs w:val="28"/>
        </w:rPr>
        <w:t>”和“增加择业资本”，占比分别为</w:t>
      </w:r>
      <w:r>
        <w:rPr>
          <w:rFonts w:ascii="楷体_GB2312" w:eastAsia="楷体_GB2312" w:hAnsi="楷体_GB2312" w:cs="楷体_GB2312" w:hint="eastAsia"/>
          <w:sz w:val="28"/>
          <w:szCs w:val="28"/>
        </w:rPr>
        <w:t>31.13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14.15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1-10</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p w:rsidR="00000000" w:rsidRDefault="006666D3">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040813" cy="2147264"/>
            <wp:effectExtent l="3929" t="3479" r="12908" b="11432"/>
            <wp:docPr id="13"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00000" w:rsidRDefault="009A1129">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1-10  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届毕业生升学出国原因</w:t>
      </w:r>
    </w:p>
    <w:p w:rsidR="00000000" w:rsidRDefault="009A1129">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3</w:t>
      </w:r>
      <w:r>
        <w:rPr>
          <w:rFonts w:ascii="楷体_GB2312" w:eastAsia="楷体_GB2312" w:hAnsi="楷体_GB2312" w:cs="楷体_GB2312" w:hint="eastAsia"/>
          <w:b/>
          <w:sz w:val="28"/>
          <w:szCs w:val="28"/>
        </w:rPr>
        <w:t>、灵活就业情况</w:t>
      </w:r>
    </w:p>
    <w:p w:rsidR="00000000" w:rsidRDefault="009A1129">
      <w:pPr>
        <w:spacing w:line="480" w:lineRule="auto"/>
        <w:ind w:firstLineChars="200" w:firstLine="560"/>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届已就业的毕业生中，灵活就业者</w:t>
      </w:r>
      <w:r>
        <w:rPr>
          <w:rFonts w:ascii="楷体_GB2312" w:eastAsia="楷体_GB2312" w:hAnsi="楷体_GB2312" w:cs="楷体_GB2312" w:hint="eastAsia"/>
          <w:sz w:val="28"/>
          <w:szCs w:val="28"/>
        </w:rPr>
        <w:t>94</w:t>
      </w:r>
      <w:r>
        <w:rPr>
          <w:rFonts w:ascii="楷体_GB2312" w:eastAsia="楷体_GB2312" w:hAnsi="楷体_GB2312" w:cs="楷体_GB2312" w:hint="eastAsia"/>
          <w:sz w:val="28"/>
          <w:szCs w:val="28"/>
        </w:rPr>
        <w:t>人，占毕业生总数的</w:t>
      </w:r>
      <w:r>
        <w:rPr>
          <w:rFonts w:ascii="楷体_GB2312" w:eastAsia="楷体_GB2312" w:hAnsi="楷体_GB2312" w:cs="楷体_GB2312" w:hint="eastAsia"/>
          <w:sz w:val="28"/>
          <w:szCs w:val="28"/>
        </w:rPr>
        <w:t>5.19</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，大部分是医学部学生。主要原因是医学生在通过当地统一考试、并试用期满后，才能签定就业协议或者合同。</w:t>
      </w:r>
    </w:p>
    <w:p w:rsidR="00000000" w:rsidRDefault="009A1129">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4</w:t>
      </w:r>
      <w:r>
        <w:rPr>
          <w:rFonts w:ascii="楷体_GB2312" w:eastAsia="楷体_GB2312" w:hAnsi="楷体_GB2312" w:cs="楷体_GB2312" w:hint="eastAsia"/>
          <w:b/>
          <w:sz w:val="28"/>
          <w:szCs w:val="28"/>
        </w:rPr>
        <w:t>、未就业情况</w:t>
      </w:r>
    </w:p>
    <w:p w:rsidR="00000000" w:rsidRDefault="009A1129">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lastRenderedPageBreak/>
        <w:t>未就业包括“待就业”“不就业拟升学”和“其他暂不就业”三种情况。截至</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年</w:t>
      </w:r>
      <w:r>
        <w:rPr>
          <w:rFonts w:ascii="楷体_GB2312" w:eastAsia="楷体_GB2312" w:hAnsi="楷体_GB2312" w:cs="楷体_GB2312" w:hint="eastAsia"/>
          <w:sz w:val="28"/>
          <w:szCs w:val="28"/>
        </w:rPr>
        <w:t>12</w:t>
      </w:r>
      <w:r>
        <w:rPr>
          <w:rFonts w:ascii="楷体_GB2312" w:eastAsia="楷体_GB2312" w:hAnsi="楷体_GB2312" w:cs="楷体_GB2312" w:hint="eastAsia"/>
          <w:sz w:val="28"/>
          <w:szCs w:val="28"/>
        </w:rPr>
        <w:t>月</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5</w:t>
      </w:r>
      <w:r>
        <w:rPr>
          <w:rFonts w:ascii="楷体_GB2312" w:eastAsia="楷体_GB2312" w:hAnsi="楷体_GB2312" w:cs="楷体_GB2312" w:hint="eastAsia"/>
          <w:sz w:val="28"/>
          <w:szCs w:val="28"/>
        </w:rPr>
        <w:t>日，</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w:t>
      </w:r>
      <w:r>
        <w:rPr>
          <w:rFonts w:ascii="楷体_GB2312" w:eastAsia="楷体_GB2312" w:hAnsi="楷体_GB2312" w:cs="楷体_GB2312" w:hint="eastAsia"/>
          <w:sz w:val="28"/>
          <w:szCs w:val="28"/>
        </w:rPr>
        <w:t>业生未就业人数为</w:t>
      </w:r>
      <w:r>
        <w:rPr>
          <w:rFonts w:ascii="楷体_GB2312" w:eastAsia="楷体_GB2312" w:hAnsi="楷体_GB2312" w:cs="楷体_GB2312" w:hint="eastAsia"/>
          <w:sz w:val="28"/>
          <w:szCs w:val="28"/>
        </w:rPr>
        <w:t>40</w:t>
      </w:r>
      <w:r>
        <w:rPr>
          <w:rFonts w:ascii="楷体_GB2312" w:eastAsia="楷体_GB2312" w:hAnsi="楷体_GB2312" w:cs="楷体_GB2312" w:hint="eastAsia"/>
          <w:sz w:val="28"/>
          <w:szCs w:val="28"/>
        </w:rPr>
        <w:t>人</w:t>
      </w: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占毕业生总数的</w:t>
      </w:r>
      <w:r>
        <w:rPr>
          <w:rFonts w:ascii="楷体_GB2312" w:eastAsia="楷体_GB2312" w:hAnsi="楷体_GB2312" w:cs="楷体_GB2312" w:hint="eastAsia"/>
          <w:sz w:val="28"/>
          <w:szCs w:val="28"/>
        </w:rPr>
        <w:t>2.21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，各学部未就业情况见图</w:t>
      </w:r>
      <w:r>
        <w:rPr>
          <w:rFonts w:ascii="楷体_GB2312" w:eastAsia="楷体_GB2312" w:hAnsi="楷体_GB2312" w:cs="楷体_GB2312" w:hint="eastAsia"/>
          <w:sz w:val="28"/>
          <w:szCs w:val="28"/>
        </w:rPr>
        <w:t>1-11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 xml:space="preserve"> </w:t>
      </w:r>
    </w:p>
    <w:p w:rsidR="00000000" w:rsidRDefault="006666D3">
      <w:pPr>
        <w:spacing w:line="480" w:lineRule="auto"/>
        <w:jc w:val="center"/>
        <w:rPr>
          <w:rFonts w:ascii="楷体_GB2312" w:eastAsia="楷体_GB2312" w:hAnsi="楷体_GB2312" w:cs="楷体_GB2312"/>
          <w:sz w:val="28"/>
          <w:szCs w:val="28"/>
        </w:rPr>
      </w:pPr>
      <w:r>
        <w:rPr>
          <w:noProof/>
        </w:rPr>
        <w:drawing>
          <wp:inline distT="0" distB="0" distL="0" distR="0">
            <wp:extent cx="5030091" cy="2534545"/>
            <wp:effectExtent l="4237" t="4236" r="13922" b="13919"/>
            <wp:docPr id="1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00000" w:rsidRDefault="009A1129">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1-11 </w:t>
      </w:r>
      <w:r>
        <w:rPr>
          <w:rFonts w:ascii="楷体_GB2312" w:eastAsia="楷体_GB2312" w:hAnsi="楷体_GB2312" w:cs="楷体_GB2312" w:hint="eastAsia"/>
          <w:b/>
          <w:bCs/>
          <w:sz w:val="28"/>
          <w:szCs w:val="28"/>
        </w:rPr>
        <w:t>各学部</w:t>
      </w:r>
      <w:r>
        <w:rPr>
          <w:rFonts w:ascii="楷体_GB2312" w:eastAsia="楷体_GB2312" w:hAnsi="楷体_GB2312" w:cs="楷体_GB2312" w:hint="eastAsia"/>
          <w:b/>
          <w:bCs/>
          <w:sz w:val="28"/>
          <w:szCs w:val="28"/>
        </w:rPr>
        <w:t>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届毕业生未就业率</w:t>
      </w:r>
    </w:p>
    <w:p w:rsidR="00000000" w:rsidRDefault="009A1129">
      <w:pPr>
        <w:spacing w:line="480" w:lineRule="auto"/>
        <w:ind w:firstLineChars="200" w:firstLine="562"/>
        <w:jc w:val="center"/>
        <w:rPr>
          <w:rFonts w:ascii="楷体_GB2312" w:eastAsia="楷体_GB2312" w:hAnsi="楷体_GB2312" w:cs="楷体_GB2312" w:hint="eastAsia"/>
          <w:b/>
          <w:bCs/>
          <w:sz w:val="28"/>
          <w:szCs w:val="28"/>
        </w:rPr>
      </w:pPr>
    </w:p>
    <w:p w:rsidR="00000000" w:rsidRDefault="009A1129">
      <w:pPr>
        <w:spacing w:line="480" w:lineRule="auto"/>
        <w:jc w:val="left"/>
        <w:rPr>
          <w:rFonts w:ascii="楷体_GB2312" w:eastAsia="楷体_GB2312" w:hAnsi="楷体_GB2312" w:cs="楷体_GB2312"/>
          <w:b/>
          <w:sz w:val="28"/>
          <w:szCs w:val="28"/>
        </w:rPr>
      </w:pPr>
      <w:r>
        <w:rPr>
          <w:rFonts w:ascii="楷体_GB2312" w:eastAsia="楷体_GB2312" w:hAnsi="楷体_GB2312" w:cs="楷体_GB2312" w:hint="eastAsia"/>
          <w:b/>
          <w:sz w:val="28"/>
          <w:szCs w:val="28"/>
        </w:rPr>
        <w:t>（二）不同性别毕业生的毕业流向</w:t>
      </w:r>
    </w:p>
    <w:p w:rsidR="00000000" w:rsidRDefault="009A1129">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届毕业生中，女生单位就业率、灵活就业率高于男生，而升学出国率、未就业率低于男生</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1-12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 xml:space="preserve">   </w:t>
      </w:r>
    </w:p>
    <w:p w:rsidR="00000000" w:rsidRDefault="006666D3">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572000" cy="2355368"/>
            <wp:effectExtent l="4445" t="3817" r="14605" b="12540"/>
            <wp:docPr id="15"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00000" w:rsidRDefault="009A1129">
      <w:pPr>
        <w:spacing w:line="480" w:lineRule="auto"/>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1-12  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届不同性别毕业生的毕业流向</w:t>
      </w:r>
    </w:p>
    <w:p w:rsidR="00000000" w:rsidRDefault="009A1129">
      <w:pPr>
        <w:spacing w:line="480" w:lineRule="auto"/>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lastRenderedPageBreak/>
        <w:t>五、就业分布</w:t>
      </w:r>
    </w:p>
    <w:p w:rsidR="00000000" w:rsidRDefault="009A1129">
      <w:p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（一）毕业生就业单位统计</w:t>
      </w:r>
    </w:p>
    <w:p w:rsidR="00000000" w:rsidRDefault="009A1129">
      <w:pPr>
        <w:pStyle w:val="aa"/>
        <w:ind w:firstLineChars="200" w:firstLine="560"/>
        <w:rPr>
          <w:rFonts w:ascii="楷体_GB2312" w:eastAsia="楷体_GB2312" w:hAnsi="楷体_GB2312" w:cs="楷体_GB2312"/>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届毕业生就业单位的类型涵</w:t>
      </w:r>
      <w:r>
        <w:rPr>
          <w:rFonts w:ascii="楷体_GB2312" w:eastAsia="楷体_GB2312" w:hAnsi="楷体_GB2312" w:cs="楷体_GB2312" w:hint="eastAsia"/>
          <w:sz w:val="28"/>
          <w:szCs w:val="28"/>
        </w:rPr>
        <w:t>盖医</w:t>
      </w:r>
      <w:r>
        <w:rPr>
          <w:rFonts w:ascii="楷体_GB2312" w:eastAsia="楷体_GB2312" w:hAnsi="楷体_GB2312" w:cs="楷体_GB2312" w:hint="eastAsia"/>
          <w:sz w:val="28"/>
          <w:szCs w:val="28"/>
        </w:rPr>
        <w:t>疗卫生单位、</w:t>
      </w:r>
      <w:r>
        <w:rPr>
          <w:rFonts w:ascii="楷体_GB2312" w:eastAsia="楷体_GB2312" w:hAnsi="楷体_GB2312" w:cs="楷体_GB2312" w:hint="eastAsia"/>
          <w:sz w:val="28"/>
          <w:szCs w:val="28"/>
        </w:rPr>
        <w:t>港澳台及外</w:t>
      </w:r>
      <w:r>
        <w:rPr>
          <w:rFonts w:ascii="楷体_GB2312" w:eastAsia="楷体_GB2312" w:hAnsi="楷体_GB2312" w:cs="楷体_GB2312" w:hint="eastAsia"/>
          <w:sz w:val="28"/>
          <w:szCs w:val="28"/>
        </w:rPr>
        <w:t>资企业、国有</w:t>
      </w:r>
      <w:r>
        <w:rPr>
          <w:rFonts w:ascii="楷体_GB2312" w:eastAsia="楷体_GB2312" w:hAnsi="楷体_GB2312" w:cs="楷体_GB2312" w:hint="eastAsia"/>
          <w:sz w:val="28"/>
          <w:szCs w:val="28"/>
        </w:rPr>
        <w:t>及集团</w:t>
      </w:r>
      <w:r>
        <w:rPr>
          <w:rFonts w:ascii="楷体_GB2312" w:eastAsia="楷体_GB2312" w:hAnsi="楷体_GB2312" w:cs="楷体_GB2312" w:hint="eastAsia"/>
          <w:sz w:val="28"/>
          <w:szCs w:val="28"/>
        </w:rPr>
        <w:t>企业、国家</w:t>
      </w:r>
      <w:r>
        <w:rPr>
          <w:rFonts w:ascii="楷体_GB2312" w:eastAsia="楷体_GB2312" w:hAnsi="楷体_GB2312" w:cs="楷体_GB2312" w:hint="eastAsia"/>
          <w:sz w:val="28"/>
          <w:szCs w:val="28"/>
        </w:rPr>
        <w:t>和</w:t>
      </w:r>
      <w:r>
        <w:rPr>
          <w:rFonts w:ascii="楷体_GB2312" w:eastAsia="楷体_GB2312" w:hAnsi="楷体_GB2312" w:cs="楷体_GB2312" w:hint="eastAsia"/>
          <w:sz w:val="28"/>
          <w:szCs w:val="28"/>
        </w:rPr>
        <w:t>地方基层组织、机关、中初等教育单位、</w:t>
      </w:r>
      <w:r>
        <w:rPr>
          <w:rFonts w:ascii="楷体_GB2312" w:eastAsia="楷体_GB2312" w:hAnsi="楷体_GB2312" w:cs="楷体_GB2312" w:hint="eastAsia"/>
          <w:sz w:val="28"/>
          <w:szCs w:val="28"/>
        </w:rPr>
        <w:t>民营企业</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非盈利组织（</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1-1</w:t>
      </w:r>
      <w:r>
        <w:rPr>
          <w:rFonts w:ascii="楷体_GB2312" w:eastAsia="楷体_GB2312" w:hAnsi="楷体_GB2312" w:cs="楷体_GB2312" w:hint="eastAsia"/>
          <w:sz w:val="28"/>
          <w:szCs w:val="28"/>
        </w:rPr>
        <w:t>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。其中，除</w:t>
      </w:r>
      <w:r>
        <w:rPr>
          <w:rFonts w:ascii="楷体_GB2312" w:eastAsia="楷体_GB2312" w:hAnsi="楷体_GB2312" w:cs="楷体_GB2312" w:hint="eastAsia"/>
          <w:sz w:val="28"/>
          <w:szCs w:val="28"/>
        </w:rPr>
        <w:t>民营企业外，</w:t>
      </w:r>
      <w:r>
        <w:rPr>
          <w:rFonts w:ascii="楷体_GB2312" w:eastAsia="楷体_GB2312" w:hAnsi="楷体_GB2312" w:cs="楷体_GB2312" w:hint="eastAsia"/>
          <w:sz w:val="28"/>
          <w:szCs w:val="28"/>
        </w:rPr>
        <w:t>毕业生就业单位的主要类型是医疗卫生单位，体现了我院办学的医学特色及优势。</w:t>
      </w:r>
    </w:p>
    <w:p w:rsidR="00000000" w:rsidRDefault="006666D3">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486631" cy="2260775"/>
            <wp:effectExtent l="4362" t="3663" r="14332" b="12037"/>
            <wp:docPr id="16" name="图表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00000" w:rsidRDefault="009A1129">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w:t>
      </w:r>
      <w:r>
        <w:rPr>
          <w:rFonts w:ascii="楷体_GB2312" w:eastAsia="楷体_GB2312" w:hAnsi="楷体_GB2312" w:cs="楷体_GB2312" w:hint="eastAsia"/>
          <w:b/>
          <w:bCs/>
          <w:sz w:val="28"/>
          <w:szCs w:val="28"/>
        </w:rPr>
        <w:t>3</w:t>
      </w:r>
      <w:r>
        <w:rPr>
          <w:rFonts w:ascii="楷体_GB2312" w:eastAsia="楷体_GB2312" w:hAnsi="楷体_GB2312" w:cs="楷体_GB2312" w:hint="eastAsia"/>
          <w:b/>
          <w:bCs/>
          <w:sz w:val="28"/>
          <w:szCs w:val="28"/>
        </w:rPr>
        <w:t xml:space="preserve">  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届毕业生就业单位类型</w:t>
      </w:r>
    </w:p>
    <w:p w:rsidR="00000000" w:rsidRDefault="009A1129">
      <w:pPr>
        <w:spacing w:line="480" w:lineRule="auto"/>
        <w:jc w:val="center"/>
        <w:rPr>
          <w:rFonts w:ascii="楷体_GB2312" w:eastAsia="楷体_GB2312" w:hAnsi="楷体_GB2312" w:cs="楷体_GB2312" w:hint="eastAsia"/>
          <w:b/>
          <w:bCs/>
          <w:sz w:val="28"/>
          <w:szCs w:val="28"/>
        </w:rPr>
      </w:pPr>
    </w:p>
    <w:p w:rsidR="00000000" w:rsidRDefault="009A1129">
      <w:pPr>
        <w:numPr>
          <w:ilvl w:val="0"/>
          <w:numId w:val="4"/>
        </w:num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毕业生就业行业统计</w:t>
      </w:r>
    </w:p>
    <w:p w:rsidR="00000000" w:rsidRDefault="009A1129">
      <w:pPr>
        <w:spacing w:line="480" w:lineRule="auto"/>
        <w:jc w:val="left"/>
        <w:rPr>
          <w:rFonts w:ascii="楷体_GB2312" w:eastAsia="楷体_GB2312" w:hAnsi="楷体_GB2312" w:cs="楷体_GB2312"/>
          <w:color w:val="FF0000"/>
          <w:sz w:val="28"/>
          <w:szCs w:val="28"/>
        </w:rPr>
      </w:pP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 xml:space="preserve"> </w:t>
      </w:r>
      <w:r>
        <w:rPr>
          <w:rFonts w:ascii="楷体_GB2312" w:eastAsia="楷体_GB2312" w:hAnsi="楷体_GB2312" w:cs="楷体_GB2312" w:hint="eastAsia"/>
          <w:sz w:val="28"/>
          <w:szCs w:val="28"/>
        </w:rPr>
        <w:t>从毕业生就业行业分布情况看，“卫生和社会工作”是毕业生就业所属行业的主要流向，占比为</w:t>
      </w:r>
      <w:r>
        <w:rPr>
          <w:rFonts w:ascii="楷体_GB2312" w:eastAsia="楷体_GB2312" w:hAnsi="楷体_GB2312" w:cs="楷体_GB2312" w:hint="eastAsia"/>
          <w:sz w:val="28"/>
          <w:szCs w:val="28"/>
        </w:rPr>
        <w:t>34.01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，这与我院的专业设置相匹配，与我院医学类学生占比相</w:t>
      </w:r>
      <w:r>
        <w:rPr>
          <w:rFonts w:ascii="楷体_GB2312" w:eastAsia="楷体_GB2312" w:hAnsi="楷体_GB2312" w:cs="楷体_GB2312" w:hint="eastAsia"/>
          <w:sz w:val="28"/>
          <w:szCs w:val="28"/>
        </w:rPr>
        <w:t>符。其</w:t>
      </w:r>
      <w:r>
        <w:rPr>
          <w:rFonts w:ascii="楷体_GB2312" w:eastAsia="楷体_GB2312" w:hAnsi="楷体_GB2312" w:cs="楷体_GB2312" w:hint="eastAsia"/>
          <w:sz w:val="28"/>
          <w:szCs w:val="28"/>
        </w:rPr>
        <w:t>次</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为制造业，占比</w:t>
      </w:r>
      <w:r>
        <w:rPr>
          <w:rFonts w:ascii="楷体_GB2312" w:eastAsia="楷体_GB2312" w:hAnsi="楷体_GB2312" w:cs="楷体_GB2312" w:hint="eastAsia"/>
          <w:sz w:val="28"/>
          <w:szCs w:val="28"/>
        </w:rPr>
        <w:t>19.88</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1-1</w:t>
      </w:r>
      <w:r>
        <w:rPr>
          <w:rFonts w:ascii="楷体_GB2312" w:eastAsia="楷体_GB2312" w:hAnsi="楷体_GB2312" w:cs="楷体_GB2312" w:hint="eastAsia"/>
          <w:sz w:val="28"/>
          <w:szCs w:val="28"/>
        </w:rPr>
        <w:t>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p w:rsidR="00000000" w:rsidRDefault="006666D3">
      <w:pPr>
        <w:spacing w:line="480" w:lineRule="auto"/>
        <w:rPr>
          <w:rFonts w:ascii="楷体_GB2312" w:eastAsia="楷体_GB2312" w:hAnsi="楷体_GB2312" w:cs="楷体_GB2312"/>
          <w:b/>
          <w:bCs/>
          <w:sz w:val="36"/>
          <w:szCs w:val="36"/>
        </w:rPr>
      </w:pPr>
      <w:r>
        <w:rPr>
          <w:noProof/>
        </w:rPr>
        <w:lastRenderedPageBreak/>
        <w:drawing>
          <wp:inline distT="0" distB="0" distL="0" distR="0">
            <wp:extent cx="4725912" cy="2725672"/>
            <wp:effectExtent l="4092" t="4090" r="13446" b="13438"/>
            <wp:docPr id="17"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00000" w:rsidRDefault="009A1129">
      <w:pPr>
        <w:spacing w:line="480" w:lineRule="auto"/>
        <w:jc w:val="center"/>
        <w:rPr>
          <w:rFonts w:ascii="楷体_GB2312" w:eastAsia="楷体_GB2312" w:hAnsi="楷体_GB2312" w:cs="楷体_GB2312" w:hint="eastAsia"/>
          <w:b/>
          <w:bCs/>
          <w:sz w:val="36"/>
          <w:szCs w:val="36"/>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1-1</w:t>
      </w:r>
      <w:r>
        <w:rPr>
          <w:rFonts w:ascii="楷体_GB2312" w:eastAsia="楷体_GB2312" w:hAnsi="楷体_GB2312" w:cs="楷体_GB2312" w:hint="eastAsia"/>
          <w:b/>
          <w:bCs/>
          <w:sz w:val="28"/>
          <w:szCs w:val="28"/>
        </w:rPr>
        <w:t>4</w:t>
      </w:r>
      <w:r>
        <w:rPr>
          <w:rFonts w:ascii="楷体_GB2312" w:eastAsia="楷体_GB2312" w:hAnsi="楷体_GB2312" w:cs="楷体_GB2312" w:hint="eastAsia"/>
          <w:b/>
          <w:bCs/>
          <w:sz w:val="28"/>
          <w:szCs w:val="28"/>
        </w:rPr>
        <w:t xml:space="preserve">  201</w:t>
      </w:r>
      <w:r>
        <w:rPr>
          <w:rFonts w:ascii="楷体_GB2312" w:eastAsia="楷体_GB2312" w:hAnsi="楷体_GB2312" w:cs="楷体_GB2312" w:hint="eastAsia"/>
          <w:b/>
          <w:bCs/>
          <w:sz w:val="28"/>
          <w:szCs w:val="28"/>
        </w:rPr>
        <w:t>7</w:t>
      </w:r>
      <w:r>
        <w:rPr>
          <w:rFonts w:ascii="楷体_GB2312" w:eastAsia="楷体_GB2312" w:hAnsi="楷体_GB2312" w:cs="楷体_GB2312" w:hint="eastAsia"/>
          <w:b/>
          <w:bCs/>
          <w:sz w:val="28"/>
          <w:szCs w:val="28"/>
        </w:rPr>
        <w:t>届毕业生就业单位所属行业分布</w:t>
      </w: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rPr>
          <w:rFonts w:ascii="楷体_GB2312" w:eastAsia="楷体_GB2312" w:hAnsi="楷体_GB2312" w:cs="楷体_GB2312"/>
          <w:b/>
          <w:bCs/>
          <w:sz w:val="36"/>
          <w:szCs w:val="36"/>
        </w:rPr>
      </w:pPr>
    </w:p>
    <w:p w:rsidR="00000000" w:rsidRDefault="009A1129">
      <w:pPr>
        <w:spacing w:line="480" w:lineRule="auto"/>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lastRenderedPageBreak/>
        <w:t>第二部分</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毕业生就业工作</w:t>
      </w:r>
      <w:r>
        <w:rPr>
          <w:rFonts w:ascii="楷体_GB2312" w:eastAsia="楷体_GB2312" w:hAnsi="楷体_GB2312" w:cs="楷体_GB2312" w:hint="eastAsia"/>
          <w:b/>
          <w:bCs/>
          <w:sz w:val="36"/>
          <w:szCs w:val="36"/>
        </w:rPr>
        <w:t>举措</w:t>
      </w:r>
    </w:p>
    <w:p w:rsidR="00000000" w:rsidRDefault="009A1129">
      <w:pPr>
        <w:pStyle w:val="ab"/>
        <w:spacing w:line="480" w:lineRule="auto"/>
        <w:ind w:firstLineChars="0" w:firstLine="0"/>
        <w:rPr>
          <w:rFonts w:ascii="宋体" w:hAnsi="宋体" w:cs="宋体" w:hint="eastAsia"/>
          <w:b/>
          <w:bCs/>
          <w:sz w:val="28"/>
          <w:szCs w:val="28"/>
        </w:rPr>
      </w:pPr>
      <w:r>
        <w:rPr>
          <w:rFonts w:ascii="宋体" w:hAnsi="宋体" w:cs="宋体" w:hint="eastAsia"/>
          <w:b/>
          <w:bCs/>
          <w:sz w:val="28"/>
          <w:szCs w:val="28"/>
        </w:rPr>
        <w:t>一、</w:t>
      </w:r>
      <w:r>
        <w:rPr>
          <w:rFonts w:ascii="宋体" w:hAnsi="宋体" w:cs="宋体" w:hint="eastAsia"/>
          <w:b/>
          <w:bCs/>
          <w:sz w:val="28"/>
          <w:szCs w:val="28"/>
        </w:rPr>
        <w:t>高度重视、通力协作，开创就创工作新局面</w:t>
      </w:r>
    </w:p>
    <w:p w:rsidR="00000000" w:rsidRDefault="009A1129">
      <w:pPr>
        <w:spacing w:line="480" w:lineRule="auto"/>
        <w:ind w:firstLineChars="200" w:firstLine="420"/>
        <w:rPr>
          <w:rFonts w:ascii="宋体" w:hAnsi="宋体" w:cs="宋体" w:hint="eastAsia"/>
          <w:kern w:val="0"/>
          <w:szCs w:val="21"/>
        </w:rPr>
      </w:pPr>
      <w:r>
        <w:rPr>
          <w:rFonts w:ascii="宋体" w:hAnsi="宋体" w:cs="宋体" w:hint="eastAsia"/>
          <w:kern w:val="0"/>
          <w:szCs w:val="21"/>
        </w:rPr>
        <w:t>学院高度重视毕业生就业创业工作，实施“一把手工程”。学院成立毕业生就业创业工作小组，分管领导具体抓落实，责任到部门，形成毕业年级、学部、学生处三级联动机制。学院党政工作要点分章节阐述当年度学院就业创业工作计划、目标和举措，并定期召开党政联席会议专题研究部署毕业生就业创业相关工作。学院重视建立毕业生就业创业工作长效机制，咬定就业创业工作目标，从独立学院教育教学改革入手，以培养应用型人才为核心，每学期多次召开党政联席会议围绕社会、市场需要什么样的人才，研讨学院人</w:t>
      </w:r>
      <w:r>
        <w:rPr>
          <w:rFonts w:ascii="宋体" w:hAnsi="宋体" w:cs="宋体" w:hint="eastAsia"/>
          <w:kern w:val="0"/>
          <w:szCs w:val="21"/>
        </w:rPr>
        <w:t>才培养模式改革。召开教学工作会议，商讨专业人才培养方案修订工作，交流讨论应用型人才培养的经验，提高人才培养质量和毕业生就业核心竞争力。</w:t>
      </w:r>
      <w:r>
        <w:rPr>
          <w:rFonts w:ascii="宋体" w:hAnsi="宋体" w:cs="宋体" w:hint="eastAsia"/>
          <w:kern w:val="0"/>
          <w:szCs w:val="21"/>
        </w:rPr>
        <w:t>学院将毕业生就</w:t>
      </w:r>
      <w:r>
        <w:rPr>
          <w:rFonts w:ascii="宋体" w:hAnsi="宋体" w:cs="宋体" w:hint="eastAsia"/>
          <w:kern w:val="0"/>
          <w:szCs w:val="21"/>
        </w:rPr>
        <w:t>创</w:t>
      </w:r>
      <w:r>
        <w:rPr>
          <w:rFonts w:ascii="宋体" w:hAnsi="宋体" w:cs="宋体" w:hint="eastAsia"/>
          <w:kern w:val="0"/>
          <w:szCs w:val="21"/>
        </w:rPr>
        <w:t>工作</w:t>
      </w:r>
      <w:r>
        <w:rPr>
          <w:rFonts w:ascii="宋体" w:hAnsi="宋体" w:cs="宋体" w:hint="eastAsia"/>
          <w:kern w:val="0"/>
          <w:szCs w:val="21"/>
        </w:rPr>
        <w:t>列为</w:t>
      </w:r>
      <w:r>
        <w:rPr>
          <w:rFonts w:ascii="宋体" w:hAnsi="宋体" w:cs="宋体" w:hint="eastAsia"/>
          <w:kern w:val="0"/>
          <w:szCs w:val="21"/>
        </w:rPr>
        <w:t>年度目标考核的主要指标，</w:t>
      </w:r>
      <w:r>
        <w:rPr>
          <w:rFonts w:ascii="宋体" w:hAnsi="宋体" w:cs="宋体" w:hint="eastAsia"/>
          <w:kern w:val="0"/>
          <w:szCs w:val="21"/>
        </w:rPr>
        <w:t>并</w:t>
      </w:r>
      <w:r>
        <w:rPr>
          <w:rFonts w:ascii="宋体" w:hAnsi="宋体" w:cs="宋体" w:hint="eastAsia"/>
          <w:kern w:val="0"/>
          <w:szCs w:val="21"/>
        </w:rPr>
        <w:t>制定</w:t>
      </w:r>
      <w:r>
        <w:rPr>
          <w:rFonts w:ascii="宋体" w:hAnsi="宋体" w:cs="宋体" w:hint="eastAsia"/>
          <w:kern w:val="0"/>
          <w:szCs w:val="21"/>
        </w:rPr>
        <w:t>了</w:t>
      </w:r>
      <w:r>
        <w:rPr>
          <w:rFonts w:ascii="宋体" w:hAnsi="宋体" w:cs="宋体" w:hint="eastAsia"/>
          <w:kern w:val="0"/>
          <w:szCs w:val="21"/>
        </w:rPr>
        <w:t>《南通大学杏林学院毕业生就业</w:t>
      </w:r>
      <w:r>
        <w:rPr>
          <w:rFonts w:ascii="宋体" w:hAnsi="宋体" w:cs="宋体" w:hint="eastAsia"/>
          <w:kern w:val="0"/>
          <w:szCs w:val="21"/>
        </w:rPr>
        <w:t>创业</w:t>
      </w:r>
      <w:r>
        <w:rPr>
          <w:rFonts w:ascii="宋体" w:hAnsi="宋体" w:cs="宋体" w:hint="eastAsia"/>
          <w:kern w:val="0"/>
          <w:szCs w:val="21"/>
        </w:rPr>
        <w:t>工作奖励办法》，</w:t>
      </w:r>
      <w:r>
        <w:rPr>
          <w:rFonts w:ascii="宋体" w:hAnsi="宋体" w:cs="宋体" w:hint="eastAsia"/>
          <w:kern w:val="0"/>
          <w:szCs w:val="21"/>
        </w:rPr>
        <w:t>极大地提升了全院教师的主动性和积极性。在全院教师的共同努力下，获得“南通大学</w:t>
      </w:r>
      <w:r>
        <w:rPr>
          <w:rFonts w:ascii="宋体" w:hAnsi="宋体" w:cs="宋体" w:hint="eastAsia"/>
          <w:kern w:val="0"/>
          <w:szCs w:val="21"/>
        </w:rPr>
        <w:t>2016</w:t>
      </w:r>
      <w:r>
        <w:rPr>
          <w:rFonts w:ascii="宋体" w:hAnsi="宋体" w:cs="宋体" w:hint="eastAsia"/>
          <w:kern w:val="0"/>
          <w:szCs w:val="21"/>
        </w:rPr>
        <w:t>年毕业生就业工作先进集体”称号。</w:t>
      </w:r>
    </w:p>
    <w:p w:rsidR="00000000" w:rsidRDefault="009A1129">
      <w:pPr>
        <w:spacing w:line="480" w:lineRule="auto"/>
        <w:ind w:firstLineChars="200" w:firstLine="420"/>
        <w:rPr>
          <w:rFonts w:ascii="宋体" w:hAnsi="宋体" w:cs="宋体" w:hint="eastAsia"/>
          <w:kern w:val="0"/>
          <w:szCs w:val="21"/>
        </w:rPr>
      </w:pPr>
    </w:p>
    <w:p w:rsidR="00000000" w:rsidRDefault="009A1129">
      <w:pPr>
        <w:pStyle w:val="ab"/>
        <w:spacing w:line="480" w:lineRule="auto"/>
        <w:ind w:firstLineChars="0" w:firstLine="0"/>
        <w:rPr>
          <w:rFonts w:ascii="宋体" w:hAnsi="宋体" w:cs="宋体" w:hint="eastAsia"/>
          <w:b/>
          <w:bCs/>
          <w:sz w:val="28"/>
          <w:szCs w:val="28"/>
        </w:rPr>
      </w:pPr>
      <w:r>
        <w:rPr>
          <w:rFonts w:ascii="宋体" w:hAnsi="宋体" w:cs="宋体" w:hint="eastAsia"/>
          <w:b/>
          <w:bCs/>
          <w:sz w:val="28"/>
          <w:szCs w:val="28"/>
        </w:rPr>
        <w:t>二、</w:t>
      </w:r>
      <w:r>
        <w:rPr>
          <w:rFonts w:ascii="宋体" w:hAnsi="宋体" w:cs="宋体" w:hint="eastAsia"/>
          <w:b/>
          <w:bCs/>
          <w:sz w:val="28"/>
          <w:szCs w:val="28"/>
        </w:rPr>
        <w:t>开拓创新、全程指导，体现就创教育实效性</w:t>
      </w:r>
    </w:p>
    <w:p w:rsidR="00000000" w:rsidRDefault="009A1129">
      <w:pPr>
        <w:spacing w:line="480" w:lineRule="auto"/>
        <w:ind w:firstLineChars="200" w:firstLine="420"/>
        <w:rPr>
          <w:rFonts w:ascii="宋体" w:hAnsi="宋体" w:cs="宋体" w:hint="eastAsia"/>
          <w:szCs w:val="21"/>
        </w:rPr>
      </w:pPr>
      <w:r>
        <w:rPr>
          <w:rFonts w:ascii="宋体" w:hAnsi="宋体" w:cs="宋体" w:hint="eastAsia"/>
          <w:szCs w:val="21"/>
        </w:rPr>
        <w:t>学院十分重视学生的就创业指导，每年专门召开全院就业创业工作会议，将就创业指导贯穿大学教育全过程。充分利用多种有</w:t>
      </w:r>
      <w:r>
        <w:rPr>
          <w:rFonts w:ascii="宋体" w:hAnsi="宋体" w:cs="宋体" w:hint="eastAsia"/>
          <w:szCs w:val="21"/>
        </w:rPr>
        <w:t>效平台和载体，分析就业形势，解读就创业政策，帮助树立正确的就业观念，加强求职技能教育。学院积极引导和鼓励毕业生到基层就业，扎实推进“苏北计划”、“三支一扶”和“大学生村官”</w:t>
      </w:r>
      <w:r>
        <w:rPr>
          <w:rFonts w:hint="eastAsia"/>
        </w:rPr>
        <w:t>计划</w:t>
      </w:r>
      <w:r>
        <w:rPr>
          <w:rFonts w:ascii="宋体" w:hAnsi="宋体" w:cs="宋体" w:hint="eastAsia"/>
          <w:szCs w:val="21"/>
        </w:rPr>
        <w:t>的实施，支持各类中小企业和非公有制单位聘用毕业生，拓展毕业生就业领域，促进以创业带动就业，引导毕业生积极创业。</w:t>
      </w:r>
    </w:p>
    <w:p w:rsidR="00000000" w:rsidRDefault="009A1129">
      <w:pPr>
        <w:spacing w:line="480" w:lineRule="auto"/>
        <w:ind w:firstLineChars="200" w:firstLine="420"/>
        <w:rPr>
          <w:rFonts w:ascii="宋体" w:hAnsi="宋体" w:cs="宋体" w:hint="eastAsia"/>
          <w:szCs w:val="21"/>
        </w:rPr>
      </w:pPr>
      <w:r>
        <w:rPr>
          <w:rFonts w:ascii="宋体" w:hAnsi="宋体" w:cs="宋体" w:hint="eastAsia"/>
          <w:szCs w:val="21"/>
        </w:rPr>
        <w:t>学院秉承以课程教学为主、课外指导为辅、咨询服务与学生活动并举的职业指导理念。在课程教学方面，组织《大学生职业辅导》课程的集体备课以及新教师的培训、试讲，举办</w:t>
      </w:r>
      <w:r>
        <w:rPr>
          <w:rFonts w:ascii="宋体" w:hAnsi="宋体" w:cs="宋体" w:hint="eastAsia"/>
          <w:szCs w:val="21"/>
        </w:rPr>
        <w:lastRenderedPageBreak/>
        <w:t>教师教学技能比赛，确保课程质量，提升职业指导课程的实效。学院将专业启</w:t>
      </w:r>
      <w:r>
        <w:rPr>
          <w:rFonts w:ascii="宋体" w:hAnsi="宋体" w:cs="宋体" w:hint="eastAsia"/>
          <w:szCs w:val="21"/>
        </w:rPr>
        <w:t>蒙作为全程化职业辅导的开端，入学伊始便</w:t>
      </w:r>
      <w:r>
        <w:rPr>
          <w:rFonts w:hint="eastAsia"/>
        </w:rPr>
        <w:t>注重</w:t>
      </w:r>
      <w:r>
        <w:rPr>
          <w:rFonts w:ascii="宋体" w:hAnsi="宋体" w:cs="宋体" w:hint="eastAsia"/>
          <w:szCs w:val="21"/>
        </w:rPr>
        <w:t>培养学生的专业兴趣，承办江苏省就业创业指导公益巡讲，通过名家讲座帮助学生了解专业发展方向和前沿信息。以大学生职业生涯规划大赛、职场精英赛、创新创业大赛、创业沙龙等活动进行毕业生就创业教育，提升学生就创业能力。</w:t>
      </w:r>
    </w:p>
    <w:p w:rsidR="00000000" w:rsidRDefault="009A1129">
      <w:pPr>
        <w:spacing w:line="480" w:lineRule="auto"/>
        <w:ind w:firstLineChars="200" w:firstLine="420"/>
        <w:rPr>
          <w:rFonts w:ascii="宋体" w:hAnsi="宋体" w:cs="宋体" w:hint="eastAsia"/>
          <w:szCs w:val="21"/>
        </w:rPr>
      </w:pPr>
    </w:p>
    <w:p w:rsidR="00000000" w:rsidRDefault="009A1129">
      <w:pPr>
        <w:pStyle w:val="ab"/>
        <w:autoSpaceDE w:val="0"/>
        <w:autoSpaceDN w:val="0"/>
        <w:adjustRightInd w:val="0"/>
        <w:spacing w:line="480" w:lineRule="auto"/>
        <w:ind w:firstLineChars="0" w:firstLine="0"/>
        <w:jc w:val="left"/>
        <w:rPr>
          <w:rFonts w:ascii="宋体" w:hAnsi="宋体" w:cs="宋体" w:hint="eastAsia"/>
          <w:b/>
          <w:bCs/>
          <w:sz w:val="28"/>
          <w:szCs w:val="28"/>
        </w:rPr>
      </w:pPr>
      <w:r>
        <w:rPr>
          <w:rFonts w:ascii="宋体" w:hAnsi="宋体" w:cs="宋体" w:hint="eastAsia"/>
          <w:b/>
          <w:bCs/>
          <w:sz w:val="28"/>
          <w:szCs w:val="28"/>
        </w:rPr>
        <w:t>三、</w:t>
      </w:r>
      <w:r>
        <w:rPr>
          <w:rFonts w:ascii="宋体" w:hAnsi="宋体" w:cs="宋体" w:hint="eastAsia"/>
          <w:b/>
          <w:bCs/>
          <w:sz w:val="28"/>
          <w:szCs w:val="28"/>
        </w:rPr>
        <w:t>拓宽渠道、合作共赢，推进就业资源建设</w:t>
      </w:r>
    </w:p>
    <w:p w:rsidR="00000000" w:rsidRDefault="009A1129">
      <w:pPr>
        <w:pStyle w:val="aa"/>
        <w:spacing w:line="480" w:lineRule="auto"/>
        <w:ind w:firstLineChars="200" w:firstLine="420"/>
        <w:rPr>
          <w:rFonts w:ascii="宋体" w:hAnsi="宋体" w:cs="宋体" w:hint="eastAsia"/>
          <w:szCs w:val="21"/>
        </w:rPr>
      </w:pPr>
      <w:r>
        <w:rPr>
          <w:rFonts w:ascii="宋体" w:hAnsi="宋体" w:cs="宋体" w:hint="eastAsia"/>
          <w:szCs w:val="21"/>
        </w:rPr>
        <w:t>学院非常重视与省就业中心、用人单位和人才市场的联系与合作。今年上半年，由学院分管领导带队，来自各学部负责就业工作的</w:t>
      </w:r>
      <w:r>
        <w:rPr>
          <w:rFonts w:ascii="宋体" w:hAnsi="宋体" w:cs="宋体" w:hint="eastAsia"/>
          <w:szCs w:val="21"/>
        </w:rPr>
        <w:t>10</w:t>
      </w:r>
      <w:r>
        <w:rPr>
          <w:rFonts w:ascii="宋体" w:hAnsi="宋体" w:cs="宋体" w:hint="eastAsia"/>
          <w:szCs w:val="21"/>
        </w:rPr>
        <w:t>多位老师，一同前往省就业中心和无锡珍岛集团进行调研学习。平时除组织学生参加母体学校南通大学就业大市</w:t>
      </w:r>
      <w:r>
        <w:rPr>
          <w:rFonts w:ascii="宋体" w:hAnsi="宋体" w:cs="宋体" w:hint="eastAsia"/>
          <w:szCs w:val="21"/>
        </w:rPr>
        <w:t>场和周末招聘会外，</w:t>
      </w:r>
      <w:r>
        <w:rPr>
          <w:rFonts w:ascii="宋体" w:hAnsi="宋体" w:cs="宋体" w:hint="eastAsia"/>
          <w:szCs w:val="21"/>
        </w:rPr>
        <w:t>2017</w:t>
      </w:r>
      <w:r>
        <w:rPr>
          <w:rFonts w:ascii="宋体" w:hAnsi="宋体" w:cs="宋体" w:hint="eastAsia"/>
          <w:szCs w:val="21"/>
        </w:rPr>
        <w:t>年学院举办春、夏、秋三季招聘会，邀请用人单位</w:t>
      </w:r>
      <w:r>
        <w:rPr>
          <w:rFonts w:ascii="宋体" w:hAnsi="宋体" w:cs="宋体" w:hint="eastAsia"/>
          <w:szCs w:val="21"/>
        </w:rPr>
        <w:t>300</w:t>
      </w:r>
      <w:r>
        <w:rPr>
          <w:rFonts w:ascii="宋体" w:hAnsi="宋体" w:cs="宋体" w:hint="eastAsia"/>
          <w:szCs w:val="21"/>
        </w:rPr>
        <w:t>余家，提供就业岗位</w:t>
      </w:r>
      <w:r>
        <w:rPr>
          <w:rFonts w:ascii="宋体" w:hAnsi="宋体" w:cs="宋体" w:hint="eastAsia"/>
          <w:szCs w:val="21"/>
        </w:rPr>
        <w:t>1500</w:t>
      </w:r>
      <w:r>
        <w:rPr>
          <w:rFonts w:ascii="宋体" w:hAnsi="宋体" w:cs="宋体" w:hint="eastAsia"/>
          <w:szCs w:val="21"/>
        </w:rPr>
        <w:t>余个，新增就业基地</w:t>
      </w:r>
      <w:r>
        <w:rPr>
          <w:rFonts w:ascii="宋体" w:hAnsi="宋体" w:cs="宋体" w:hint="eastAsia"/>
          <w:szCs w:val="21"/>
        </w:rPr>
        <w:t>26</w:t>
      </w:r>
      <w:r>
        <w:rPr>
          <w:rFonts w:ascii="宋体" w:hAnsi="宋体" w:cs="宋体" w:hint="eastAsia"/>
          <w:szCs w:val="21"/>
        </w:rPr>
        <w:t>家。</w:t>
      </w:r>
    </w:p>
    <w:p w:rsidR="00000000" w:rsidRDefault="009A1129">
      <w:pPr>
        <w:pStyle w:val="ab"/>
        <w:spacing w:line="480" w:lineRule="auto"/>
        <w:rPr>
          <w:rFonts w:ascii="宋体" w:hAnsi="宋体" w:cs="宋体" w:hint="eastAsia"/>
          <w:szCs w:val="21"/>
        </w:rPr>
      </w:pPr>
      <w:r>
        <w:rPr>
          <w:rFonts w:ascii="宋体" w:hAnsi="宋体" w:cs="宋体" w:hint="eastAsia"/>
          <w:szCs w:val="21"/>
        </w:rPr>
        <w:t>学院采取学部与专业学院对接方式，推进用人单位客户管理。学院定期</w:t>
      </w:r>
      <w:r>
        <w:rPr>
          <w:rFonts w:ascii="宋体" w:hAnsi="宋体" w:cs="宋体" w:hint="eastAsia"/>
          <w:szCs w:val="21"/>
        </w:rPr>
        <w:t>走访用人单位，调研就业需求和毕业生职业发展状况，</w:t>
      </w:r>
      <w:r>
        <w:rPr>
          <w:rFonts w:ascii="宋体" w:hAnsi="宋体" w:cs="宋体" w:hint="eastAsia"/>
          <w:szCs w:val="21"/>
        </w:rPr>
        <w:t>及时反馈并调整教学培养计划</w:t>
      </w:r>
      <w:r>
        <w:rPr>
          <w:rFonts w:ascii="宋体" w:hAnsi="宋体" w:cs="宋体" w:hint="eastAsia"/>
          <w:szCs w:val="21"/>
        </w:rPr>
        <w:t>。</w:t>
      </w:r>
      <w:r>
        <w:rPr>
          <w:rFonts w:ascii="宋体" w:hAnsi="宋体" w:cs="宋体" w:hint="eastAsia"/>
          <w:szCs w:val="21"/>
        </w:rPr>
        <w:t>学院除与南通市人才中心、南通市人力资源协会保持密切联系外，每年寒假分批奔赴省内各县市的人才市场，以学校集中推荐的方式促进毕业生就业。</w:t>
      </w:r>
    </w:p>
    <w:p w:rsidR="00000000" w:rsidRDefault="009A1129">
      <w:pPr>
        <w:pStyle w:val="ab"/>
        <w:spacing w:line="480" w:lineRule="auto"/>
        <w:rPr>
          <w:rFonts w:ascii="宋体" w:hAnsi="宋体" w:cs="宋体" w:hint="eastAsia"/>
          <w:szCs w:val="21"/>
        </w:rPr>
      </w:pPr>
    </w:p>
    <w:p w:rsidR="00000000" w:rsidRDefault="009A1129">
      <w:pPr>
        <w:pStyle w:val="ab"/>
        <w:spacing w:line="480" w:lineRule="auto"/>
        <w:ind w:firstLineChars="0" w:firstLine="0"/>
        <w:rPr>
          <w:rFonts w:ascii="宋体" w:hAnsi="宋体" w:cs="宋体" w:hint="eastAsia"/>
          <w:b/>
          <w:bCs/>
          <w:sz w:val="28"/>
          <w:szCs w:val="28"/>
        </w:rPr>
      </w:pPr>
      <w:r>
        <w:rPr>
          <w:rFonts w:ascii="宋体" w:hAnsi="宋体" w:cs="宋体" w:hint="eastAsia"/>
          <w:b/>
          <w:bCs/>
          <w:sz w:val="28"/>
          <w:szCs w:val="28"/>
        </w:rPr>
        <w:t>四</w:t>
      </w:r>
      <w:r>
        <w:rPr>
          <w:rFonts w:ascii="宋体" w:hAnsi="宋体" w:cs="宋体" w:hint="eastAsia"/>
          <w:b/>
          <w:bCs/>
          <w:sz w:val="28"/>
          <w:szCs w:val="28"/>
        </w:rPr>
        <w:t>、</w:t>
      </w:r>
      <w:r>
        <w:rPr>
          <w:rFonts w:ascii="宋体" w:hAnsi="宋体" w:cs="宋体" w:hint="eastAsia"/>
          <w:b/>
          <w:bCs/>
          <w:sz w:val="28"/>
          <w:szCs w:val="28"/>
        </w:rPr>
        <w:t>独立建档、跟踪服务，实现毕业生就业帮扶全覆盖</w:t>
      </w:r>
    </w:p>
    <w:p w:rsidR="00000000" w:rsidRDefault="009A1129">
      <w:pPr>
        <w:autoSpaceDE w:val="0"/>
        <w:autoSpaceDN w:val="0"/>
        <w:adjustRightInd w:val="0"/>
        <w:spacing w:line="480" w:lineRule="auto"/>
        <w:ind w:firstLineChars="200" w:firstLine="420"/>
        <w:jc w:val="left"/>
        <w:rPr>
          <w:rFonts w:ascii="宋体" w:hAnsi="宋体" w:cs="宋体" w:hint="eastAsia"/>
          <w:kern w:val="0"/>
          <w:szCs w:val="21"/>
        </w:rPr>
      </w:pPr>
      <w:r>
        <w:rPr>
          <w:rFonts w:ascii="宋体" w:hAnsi="宋体" w:cs="宋体" w:hint="eastAsia"/>
          <w:szCs w:val="21"/>
        </w:rPr>
        <w:t>学院将做</w:t>
      </w:r>
      <w:r>
        <w:rPr>
          <w:rFonts w:ascii="宋体" w:hAnsi="宋体" w:cs="宋体" w:hint="eastAsia"/>
          <w:szCs w:val="21"/>
        </w:rPr>
        <w:t>好就业</w:t>
      </w:r>
      <w:r>
        <w:rPr>
          <w:rFonts w:ascii="宋体" w:hAnsi="宋体" w:cs="宋体" w:hint="eastAsia"/>
          <w:szCs w:val="21"/>
        </w:rPr>
        <w:t>困难学生的</w:t>
      </w:r>
      <w:r>
        <w:rPr>
          <w:rFonts w:ascii="宋体" w:hAnsi="宋体" w:cs="宋体" w:hint="eastAsia"/>
          <w:szCs w:val="21"/>
        </w:rPr>
        <w:t>指导</w:t>
      </w:r>
      <w:r>
        <w:rPr>
          <w:rFonts w:ascii="宋体" w:hAnsi="宋体" w:cs="宋体" w:hint="eastAsia"/>
          <w:szCs w:val="21"/>
        </w:rPr>
        <w:t>作为毕业生工作的重要内容，制定</w:t>
      </w:r>
      <w:r>
        <w:rPr>
          <w:rFonts w:ascii="宋体" w:hAnsi="宋体" w:cs="宋体" w:hint="eastAsia"/>
          <w:szCs w:val="21"/>
        </w:rPr>
        <w:t>《南通大学杏林学</w:t>
      </w:r>
      <w:r>
        <w:rPr>
          <w:rFonts w:ascii="宋体" w:hAnsi="宋体" w:cs="宋体" w:hint="eastAsia"/>
          <w:szCs w:val="21"/>
        </w:rPr>
        <w:t>院就</w:t>
      </w:r>
      <w:r>
        <w:rPr>
          <w:rFonts w:hint="eastAsia"/>
        </w:rPr>
        <w:t>业</w:t>
      </w:r>
      <w:r>
        <w:rPr>
          <w:rFonts w:ascii="宋体" w:hAnsi="宋体" w:cs="宋体" w:hint="eastAsia"/>
          <w:szCs w:val="21"/>
        </w:rPr>
        <w:t>困难毕业生帮扶实施办法》，建</w:t>
      </w:r>
      <w:r>
        <w:rPr>
          <w:rFonts w:ascii="宋体" w:hAnsi="宋体" w:cs="宋体" w:hint="eastAsia"/>
          <w:szCs w:val="21"/>
        </w:rPr>
        <w:t>立就</w:t>
      </w:r>
      <w:r>
        <w:rPr>
          <w:rFonts w:hint="eastAsia"/>
        </w:rPr>
        <w:t>业</w:t>
      </w:r>
      <w:r>
        <w:rPr>
          <w:rFonts w:ascii="宋体" w:hAnsi="宋体" w:cs="宋体" w:hint="eastAsia"/>
          <w:szCs w:val="21"/>
        </w:rPr>
        <w:t>困难学生帮扶档案，</w:t>
      </w:r>
      <w:r>
        <w:rPr>
          <w:rFonts w:ascii="宋体" w:hAnsi="宋体" w:cs="宋体" w:hint="eastAsia"/>
          <w:szCs w:val="21"/>
        </w:rPr>
        <w:t>由就创业指导老师、心理咨询老师组成帮扶小组，对症下药，</w:t>
      </w:r>
      <w:r>
        <w:rPr>
          <w:rFonts w:ascii="宋体" w:hAnsi="宋体" w:cs="宋体" w:hint="eastAsia"/>
          <w:kern w:val="0"/>
          <w:szCs w:val="21"/>
        </w:rPr>
        <w:t>采取多种措施，</w:t>
      </w:r>
      <w:r>
        <w:rPr>
          <w:rFonts w:ascii="宋体" w:hAnsi="宋体" w:cs="宋体" w:hint="eastAsia"/>
          <w:kern w:val="0"/>
          <w:szCs w:val="21"/>
        </w:rPr>
        <w:t>协助就</w:t>
      </w:r>
      <w:r>
        <w:rPr>
          <w:rFonts w:hint="eastAsia"/>
        </w:rPr>
        <w:t>业</w:t>
      </w:r>
      <w:r>
        <w:rPr>
          <w:rFonts w:ascii="宋体" w:hAnsi="宋体" w:cs="宋体" w:hint="eastAsia"/>
          <w:kern w:val="0"/>
          <w:szCs w:val="21"/>
        </w:rPr>
        <w:t>困难毕业生走上工作岗位</w:t>
      </w:r>
      <w:r>
        <w:rPr>
          <w:rFonts w:ascii="宋体" w:hAnsi="宋体" w:cs="宋体" w:hint="eastAsia"/>
          <w:kern w:val="0"/>
          <w:szCs w:val="21"/>
        </w:rPr>
        <w:t>。</w:t>
      </w:r>
      <w:r>
        <w:rPr>
          <w:rFonts w:ascii="宋体" w:hAnsi="宋体" w:cs="宋体" w:hint="eastAsia"/>
          <w:kern w:val="0"/>
          <w:szCs w:val="21"/>
        </w:rPr>
        <w:t>2017</w:t>
      </w:r>
      <w:r>
        <w:rPr>
          <w:rFonts w:ascii="宋体" w:hAnsi="宋体" w:cs="宋体" w:hint="eastAsia"/>
          <w:kern w:val="0"/>
          <w:szCs w:val="21"/>
        </w:rPr>
        <w:t>年，学院为</w:t>
      </w:r>
      <w:r>
        <w:rPr>
          <w:rFonts w:ascii="宋体" w:hAnsi="宋体" w:cs="宋体" w:hint="eastAsia"/>
          <w:kern w:val="0"/>
          <w:szCs w:val="21"/>
        </w:rPr>
        <w:t>109</w:t>
      </w:r>
      <w:r>
        <w:rPr>
          <w:rFonts w:ascii="宋体" w:hAnsi="宋体" w:cs="宋体" w:hint="eastAsia"/>
          <w:kern w:val="0"/>
          <w:szCs w:val="21"/>
        </w:rPr>
        <w:t>名</w:t>
      </w:r>
      <w:r>
        <w:rPr>
          <w:rFonts w:ascii="宋体" w:hAnsi="宋体" w:cs="宋体" w:hint="eastAsia"/>
          <w:kern w:val="0"/>
          <w:szCs w:val="21"/>
        </w:rPr>
        <w:t>2018</w:t>
      </w:r>
      <w:r>
        <w:rPr>
          <w:rFonts w:ascii="宋体" w:hAnsi="宋体" w:cs="宋体" w:hint="eastAsia"/>
          <w:kern w:val="0"/>
          <w:szCs w:val="21"/>
        </w:rPr>
        <w:t>届毕业生申请办理求职创业补贴，合计</w:t>
      </w:r>
      <w:r>
        <w:rPr>
          <w:rFonts w:ascii="宋体" w:hAnsi="宋体" w:cs="宋体" w:hint="eastAsia"/>
          <w:kern w:val="0"/>
          <w:szCs w:val="21"/>
        </w:rPr>
        <w:t>16.35</w:t>
      </w:r>
      <w:r>
        <w:rPr>
          <w:rFonts w:ascii="宋体" w:hAnsi="宋体" w:cs="宋体" w:hint="eastAsia"/>
          <w:kern w:val="0"/>
          <w:szCs w:val="21"/>
        </w:rPr>
        <w:t>万元。</w:t>
      </w:r>
      <w:r>
        <w:rPr>
          <w:rFonts w:ascii="宋体" w:hAnsi="宋体" w:cs="宋体" w:hint="eastAsia"/>
          <w:kern w:val="0"/>
          <w:szCs w:val="21"/>
        </w:rPr>
        <w:t>同时，做好未就业毕业生的跟踪服务，及时掌握毕业生就业动态，</w:t>
      </w:r>
      <w:r>
        <w:rPr>
          <w:rFonts w:ascii="宋体" w:hAnsi="宋体" w:cs="宋体" w:hint="eastAsia"/>
          <w:kern w:val="0"/>
          <w:szCs w:val="21"/>
        </w:rPr>
        <w:t>及时给予心理等方面的指导，</w:t>
      </w:r>
      <w:r>
        <w:rPr>
          <w:rFonts w:ascii="宋体" w:hAnsi="宋体" w:cs="宋体" w:hint="eastAsia"/>
          <w:kern w:val="0"/>
          <w:szCs w:val="21"/>
        </w:rPr>
        <w:t>帮助他们解决</w:t>
      </w:r>
      <w:r>
        <w:rPr>
          <w:rFonts w:ascii="宋体" w:hAnsi="宋体" w:cs="宋体" w:hint="eastAsia"/>
          <w:kern w:val="0"/>
          <w:szCs w:val="21"/>
        </w:rPr>
        <w:lastRenderedPageBreak/>
        <w:t>就业</w:t>
      </w:r>
      <w:r>
        <w:rPr>
          <w:rFonts w:ascii="宋体" w:hAnsi="宋体" w:cs="宋体" w:hint="eastAsia"/>
          <w:kern w:val="0"/>
          <w:szCs w:val="21"/>
        </w:rPr>
        <w:t>创业</w:t>
      </w:r>
      <w:r>
        <w:rPr>
          <w:rFonts w:ascii="宋体" w:hAnsi="宋体" w:cs="宋体" w:hint="eastAsia"/>
          <w:kern w:val="0"/>
          <w:szCs w:val="21"/>
        </w:rPr>
        <w:t>中的困难。</w:t>
      </w:r>
    </w:p>
    <w:p w:rsidR="00000000" w:rsidRDefault="009A1129">
      <w:pPr>
        <w:autoSpaceDE w:val="0"/>
        <w:autoSpaceDN w:val="0"/>
        <w:adjustRightInd w:val="0"/>
        <w:spacing w:line="480" w:lineRule="auto"/>
        <w:ind w:firstLineChars="200" w:firstLine="420"/>
        <w:jc w:val="left"/>
        <w:rPr>
          <w:rFonts w:ascii="宋体" w:hAnsi="宋体" w:cs="宋体" w:hint="eastAsia"/>
          <w:kern w:val="0"/>
          <w:szCs w:val="21"/>
        </w:rPr>
      </w:pPr>
    </w:p>
    <w:p w:rsidR="00000000" w:rsidRDefault="009A1129">
      <w:pPr>
        <w:pStyle w:val="ab"/>
        <w:spacing w:line="480" w:lineRule="auto"/>
        <w:ind w:firstLineChars="0" w:firstLine="0"/>
        <w:rPr>
          <w:rFonts w:ascii="宋体" w:hAnsi="宋体" w:cs="宋体" w:hint="eastAsia"/>
          <w:b/>
          <w:bCs/>
          <w:sz w:val="28"/>
          <w:szCs w:val="28"/>
        </w:rPr>
      </w:pPr>
      <w:r>
        <w:rPr>
          <w:rFonts w:ascii="宋体" w:hAnsi="宋体" w:cs="宋体" w:hint="eastAsia"/>
          <w:b/>
          <w:bCs/>
          <w:sz w:val="28"/>
          <w:szCs w:val="28"/>
        </w:rPr>
        <w:t>五</w:t>
      </w:r>
      <w:r>
        <w:rPr>
          <w:rFonts w:ascii="宋体" w:hAnsi="宋体" w:cs="宋体" w:hint="eastAsia"/>
          <w:b/>
          <w:bCs/>
          <w:sz w:val="28"/>
          <w:szCs w:val="28"/>
        </w:rPr>
        <w:t>、</w:t>
      </w:r>
      <w:r>
        <w:rPr>
          <w:rFonts w:ascii="宋体" w:hAnsi="宋体" w:cs="宋体" w:hint="eastAsia"/>
          <w:b/>
          <w:bCs/>
          <w:sz w:val="28"/>
          <w:szCs w:val="28"/>
        </w:rPr>
        <w:t>理论学习与实践创新并重，打造专家型就创业指导团队</w:t>
      </w:r>
    </w:p>
    <w:p w:rsidR="00000000" w:rsidRDefault="009A1129">
      <w:pPr>
        <w:spacing w:line="480" w:lineRule="auto"/>
        <w:jc w:val="left"/>
        <w:rPr>
          <w:rFonts w:ascii="楷体_GB2312" w:eastAsia="楷体_GB2312" w:hAnsi="楷体_GB2312" w:cs="楷体_GB2312" w:hint="eastAsia"/>
          <w:b/>
          <w:bCs/>
          <w:sz w:val="36"/>
          <w:szCs w:val="36"/>
        </w:rPr>
      </w:pPr>
      <w:r>
        <w:rPr>
          <w:rFonts w:ascii="宋体" w:hAnsi="宋体" w:cs="宋体" w:hint="eastAsia"/>
          <w:szCs w:val="21"/>
        </w:rPr>
        <w:t xml:space="preserve">    </w:t>
      </w:r>
      <w:r>
        <w:rPr>
          <w:rFonts w:ascii="宋体" w:hAnsi="宋体" w:cs="宋体" w:hint="eastAsia"/>
          <w:szCs w:val="21"/>
        </w:rPr>
        <w:t>学院现有</w:t>
      </w:r>
      <w:r>
        <w:rPr>
          <w:rFonts w:ascii="宋体" w:hAnsi="宋体" w:cs="宋体" w:hint="eastAsia"/>
          <w:szCs w:val="21"/>
        </w:rPr>
        <w:t>一支专业的就创业指导教师团队，</w:t>
      </w:r>
      <w:r>
        <w:rPr>
          <w:rFonts w:ascii="宋体" w:hAnsi="宋体" w:cs="宋体" w:hint="eastAsia"/>
          <w:szCs w:val="21"/>
        </w:rPr>
        <w:t>16</w:t>
      </w:r>
      <w:r>
        <w:rPr>
          <w:rFonts w:ascii="宋体" w:hAnsi="宋体" w:cs="宋体" w:hint="eastAsia"/>
          <w:szCs w:val="21"/>
        </w:rPr>
        <w:t>位教师通过了国家职业指导师和心理</w:t>
      </w:r>
      <w:r>
        <w:rPr>
          <w:rFonts w:ascii="宋体" w:hAnsi="宋体" w:cs="宋体" w:hint="eastAsia"/>
          <w:szCs w:val="21"/>
        </w:rPr>
        <w:t>咨询师考试，</w:t>
      </w:r>
      <w:r>
        <w:rPr>
          <w:rFonts w:ascii="宋体" w:hAnsi="宋体" w:cs="宋体" w:hint="eastAsia"/>
          <w:szCs w:val="21"/>
        </w:rPr>
        <w:t>含</w:t>
      </w:r>
      <w:r>
        <w:rPr>
          <w:rFonts w:ascii="宋体" w:hAnsi="宋体" w:cs="宋体" w:hint="eastAsia"/>
          <w:szCs w:val="21"/>
        </w:rPr>
        <w:t>国家高级职业指导师</w:t>
      </w:r>
      <w:r>
        <w:rPr>
          <w:rFonts w:ascii="宋体" w:hAnsi="宋体" w:cs="宋体" w:hint="eastAsia"/>
          <w:szCs w:val="21"/>
        </w:rPr>
        <w:t>、</w:t>
      </w:r>
      <w:r>
        <w:rPr>
          <w:rFonts w:ascii="宋体" w:hAnsi="宋体" w:cs="宋体" w:hint="eastAsia"/>
          <w:szCs w:val="21"/>
        </w:rPr>
        <w:t>全球职业生涯规划师</w:t>
      </w:r>
      <w:r>
        <w:rPr>
          <w:rFonts w:ascii="宋体" w:hAnsi="宋体" w:cs="宋体" w:hint="eastAsia"/>
          <w:szCs w:val="21"/>
        </w:rPr>
        <w:t>、</w:t>
      </w:r>
      <w:r>
        <w:rPr>
          <w:rFonts w:ascii="宋体" w:hAnsi="宋体" w:cs="宋体" w:hint="eastAsia"/>
          <w:szCs w:val="21"/>
        </w:rPr>
        <w:t>创业咨询师、</w:t>
      </w:r>
      <w:r>
        <w:rPr>
          <w:rFonts w:ascii="宋体" w:hAnsi="宋体" w:cs="宋体" w:hint="eastAsia"/>
          <w:szCs w:val="21"/>
        </w:rPr>
        <w:t>SYB</w:t>
      </w:r>
      <w:r>
        <w:rPr>
          <w:rFonts w:ascii="宋体" w:hAnsi="宋体" w:cs="宋体" w:hint="eastAsia"/>
          <w:szCs w:val="21"/>
        </w:rPr>
        <w:t>和</w:t>
      </w:r>
      <w:r>
        <w:rPr>
          <w:rFonts w:ascii="宋体" w:hAnsi="宋体" w:cs="宋体" w:hint="eastAsia"/>
          <w:szCs w:val="21"/>
        </w:rPr>
        <w:t>KAB</w:t>
      </w:r>
      <w:r>
        <w:rPr>
          <w:rFonts w:ascii="宋体" w:hAnsi="宋体" w:cs="宋体" w:hint="eastAsia"/>
          <w:szCs w:val="21"/>
        </w:rPr>
        <w:t>讲师、创业实训师</w:t>
      </w:r>
      <w:r>
        <w:rPr>
          <w:rFonts w:ascii="宋体" w:hAnsi="宋体" w:cs="宋体" w:hint="eastAsia"/>
          <w:szCs w:val="21"/>
        </w:rPr>
        <w:t>、</w:t>
      </w:r>
      <w:r>
        <w:rPr>
          <w:rFonts w:ascii="宋体" w:hAnsi="宋体" w:cs="宋体" w:hint="eastAsia"/>
          <w:szCs w:val="21"/>
        </w:rPr>
        <w:t>护理人才通用能力培训项目师资</w:t>
      </w:r>
      <w:r>
        <w:rPr>
          <w:rFonts w:ascii="宋体" w:hAnsi="宋体" w:cs="宋体" w:hint="eastAsia"/>
          <w:szCs w:val="21"/>
        </w:rPr>
        <w:t>、</w:t>
      </w:r>
      <w:r>
        <w:rPr>
          <w:rFonts w:ascii="宋体" w:hAnsi="宋体" w:cs="宋体" w:hint="eastAsia"/>
          <w:szCs w:val="21"/>
        </w:rPr>
        <w:t>PTT</w:t>
      </w:r>
      <w:r>
        <w:rPr>
          <w:rFonts w:ascii="宋体" w:hAnsi="宋体" w:cs="宋体" w:hint="eastAsia"/>
          <w:szCs w:val="21"/>
        </w:rPr>
        <w:t>讲师</w:t>
      </w:r>
      <w:r>
        <w:rPr>
          <w:rFonts w:ascii="宋体" w:hAnsi="宋体" w:cs="宋体" w:hint="eastAsia"/>
          <w:szCs w:val="21"/>
        </w:rPr>
        <w:t>等</w:t>
      </w:r>
      <w:r>
        <w:rPr>
          <w:rFonts w:ascii="宋体" w:hAnsi="宋体" w:cs="宋体" w:hint="eastAsia"/>
          <w:szCs w:val="21"/>
        </w:rPr>
        <w:t>。学院</w:t>
      </w:r>
      <w:r>
        <w:rPr>
          <w:rFonts w:ascii="宋体" w:hAnsi="宋体" w:cs="宋体" w:hint="eastAsia"/>
          <w:szCs w:val="21"/>
        </w:rPr>
        <w:t>定期组织专题学习、座谈会、辅导员提升班，</w:t>
      </w:r>
      <w:r>
        <w:rPr>
          <w:rFonts w:ascii="宋体" w:hAnsi="宋体" w:cs="宋体" w:hint="eastAsia"/>
          <w:szCs w:val="21"/>
        </w:rPr>
        <w:t>鼓励</w:t>
      </w:r>
      <w:r>
        <w:rPr>
          <w:rFonts w:ascii="宋体" w:hAnsi="宋体" w:cs="宋体" w:hint="eastAsia"/>
          <w:szCs w:val="21"/>
        </w:rPr>
        <w:t>就创业</w:t>
      </w:r>
      <w:r>
        <w:rPr>
          <w:rFonts w:ascii="宋体" w:hAnsi="宋体" w:cs="宋体" w:hint="eastAsia"/>
          <w:szCs w:val="21"/>
        </w:rPr>
        <w:t>工作人员进行独立学院就</w:t>
      </w:r>
      <w:r>
        <w:rPr>
          <w:rFonts w:ascii="宋体" w:hAnsi="宋体" w:cs="宋体" w:hint="eastAsia"/>
          <w:szCs w:val="21"/>
        </w:rPr>
        <w:t>创</w:t>
      </w:r>
      <w:r>
        <w:rPr>
          <w:rFonts w:ascii="宋体" w:hAnsi="宋体" w:cs="宋体" w:hint="eastAsia"/>
          <w:szCs w:val="21"/>
        </w:rPr>
        <w:t>业工作理论与实践创新，提升科研创新能力，打造学习型、研究型队伍。</w:t>
      </w:r>
    </w:p>
    <w:p w:rsidR="00000000" w:rsidRDefault="009A1129">
      <w:pPr>
        <w:spacing w:line="480" w:lineRule="auto"/>
        <w:jc w:val="center"/>
        <w:rPr>
          <w:rFonts w:ascii="楷体_GB2312" w:eastAsia="楷体_GB2312" w:hAnsi="楷体_GB2312" w:cs="楷体_GB2312" w:hint="eastAsia"/>
          <w:b/>
          <w:bCs/>
          <w:sz w:val="36"/>
          <w:szCs w:val="36"/>
        </w:rPr>
      </w:pPr>
    </w:p>
    <w:p w:rsidR="00000000" w:rsidRDefault="009A1129">
      <w:pPr>
        <w:spacing w:line="480" w:lineRule="auto"/>
        <w:jc w:val="center"/>
        <w:rPr>
          <w:rFonts w:ascii="楷体_GB2312" w:eastAsia="楷体_GB2312" w:hAnsi="楷体_GB2312" w:cs="楷体_GB2312" w:hint="eastAsia"/>
          <w:b/>
          <w:bCs/>
          <w:sz w:val="36"/>
          <w:szCs w:val="36"/>
        </w:rPr>
      </w:pPr>
    </w:p>
    <w:p w:rsidR="00000000" w:rsidRDefault="009A1129">
      <w:pPr>
        <w:spacing w:line="480" w:lineRule="auto"/>
        <w:jc w:val="center"/>
        <w:rPr>
          <w:rFonts w:ascii="楷体_GB2312" w:eastAsia="楷体_GB2312" w:hAnsi="楷体_GB2312" w:cs="楷体_GB2312" w:hint="eastAsia"/>
          <w:b/>
          <w:bCs/>
          <w:sz w:val="36"/>
          <w:szCs w:val="36"/>
        </w:rPr>
      </w:pPr>
    </w:p>
    <w:p w:rsidR="00000000" w:rsidRDefault="009A1129">
      <w:pPr>
        <w:spacing w:line="480" w:lineRule="auto"/>
        <w:rPr>
          <w:rFonts w:ascii="楷体_GB2312" w:eastAsia="楷体_GB2312" w:hAnsi="楷体_GB2312" w:cs="楷体_GB2312" w:hint="eastAsia"/>
          <w:b/>
          <w:bCs/>
          <w:sz w:val="36"/>
          <w:szCs w:val="36"/>
        </w:rPr>
      </w:pPr>
    </w:p>
    <w:p w:rsidR="00000000" w:rsidRDefault="009A1129">
      <w:pPr>
        <w:spacing w:line="480" w:lineRule="auto"/>
        <w:rPr>
          <w:rFonts w:ascii="楷体_GB2312" w:eastAsia="楷体_GB2312" w:hAnsi="楷体_GB2312" w:cs="楷体_GB2312" w:hint="eastAsia"/>
          <w:b/>
          <w:bCs/>
          <w:sz w:val="36"/>
          <w:szCs w:val="36"/>
        </w:rPr>
      </w:pPr>
    </w:p>
    <w:p w:rsidR="00000000" w:rsidRDefault="009A1129">
      <w:pPr>
        <w:spacing w:line="480" w:lineRule="auto"/>
        <w:rPr>
          <w:rFonts w:ascii="楷体_GB2312" w:eastAsia="楷体_GB2312" w:hAnsi="楷体_GB2312" w:cs="楷体_GB2312" w:hint="eastAsia"/>
          <w:b/>
          <w:bCs/>
          <w:sz w:val="36"/>
          <w:szCs w:val="36"/>
        </w:rPr>
      </w:pPr>
    </w:p>
    <w:p w:rsidR="00000000" w:rsidRDefault="009A1129">
      <w:pPr>
        <w:spacing w:line="480" w:lineRule="auto"/>
        <w:rPr>
          <w:rFonts w:ascii="楷体_GB2312" w:eastAsia="楷体_GB2312" w:hAnsi="楷体_GB2312" w:cs="楷体_GB2312" w:hint="eastAsia"/>
          <w:b/>
          <w:bCs/>
          <w:sz w:val="36"/>
          <w:szCs w:val="36"/>
        </w:rPr>
      </w:pPr>
    </w:p>
    <w:p w:rsidR="00000000" w:rsidRDefault="009A1129">
      <w:pPr>
        <w:spacing w:line="480" w:lineRule="auto"/>
        <w:rPr>
          <w:rFonts w:ascii="楷体_GB2312" w:eastAsia="楷体_GB2312" w:hAnsi="楷体_GB2312" w:cs="楷体_GB2312" w:hint="eastAsia"/>
          <w:b/>
          <w:bCs/>
          <w:sz w:val="36"/>
          <w:szCs w:val="36"/>
        </w:rPr>
      </w:pPr>
    </w:p>
    <w:p w:rsidR="00000000" w:rsidRDefault="009A1129">
      <w:pPr>
        <w:spacing w:line="480" w:lineRule="auto"/>
        <w:rPr>
          <w:rFonts w:ascii="楷体_GB2312" w:eastAsia="楷体_GB2312" w:hAnsi="楷体_GB2312" w:cs="楷体_GB2312" w:hint="eastAsia"/>
          <w:b/>
          <w:bCs/>
          <w:sz w:val="36"/>
          <w:szCs w:val="36"/>
        </w:rPr>
      </w:pPr>
    </w:p>
    <w:p w:rsidR="00000000" w:rsidRDefault="009A1129">
      <w:pPr>
        <w:spacing w:line="480" w:lineRule="auto"/>
        <w:rPr>
          <w:rFonts w:ascii="楷体_GB2312" w:eastAsia="楷体_GB2312" w:hAnsi="楷体_GB2312" w:cs="楷体_GB2312" w:hint="eastAsia"/>
          <w:b/>
          <w:bCs/>
          <w:sz w:val="36"/>
          <w:szCs w:val="36"/>
        </w:rPr>
      </w:pPr>
    </w:p>
    <w:p w:rsidR="00000000" w:rsidRDefault="009A1129">
      <w:pPr>
        <w:spacing w:line="480" w:lineRule="auto"/>
        <w:rPr>
          <w:rFonts w:ascii="楷体_GB2312" w:eastAsia="楷体_GB2312" w:hAnsi="楷体_GB2312" w:cs="楷体_GB2312" w:hint="eastAsia"/>
          <w:b/>
          <w:bCs/>
          <w:sz w:val="36"/>
          <w:szCs w:val="36"/>
        </w:rPr>
      </w:pPr>
    </w:p>
    <w:p w:rsidR="00000000" w:rsidRDefault="009A1129">
      <w:pPr>
        <w:spacing w:line="480" w:lineRule="auto"/>
        <w:rPr>
          <w:rFonts w:ascii="楷体_GB2312" w:eastAsia="楷体_GB2312" w:hAnsi="楷体_GB2312" w:cs="楷体_GB2312" w:hint="eastAsia"/>
          <w:b/>
          <w:bCs/>
          <w:sz w:val="36"/>
          <w:szCs w:val="36"/>
        </w:rPr>
      </w:pPr>
    </w:p>
    <w:p w:rsidR="00000000" w:rsidRDefault="009A1129">
      <w:pPr>
        <w:spacing w:line="480" w:lineRule="auto"/>
        <w:rPr>
          <w:rFonts w:ascii="楷体_GB2312" w:eastAsia="楷体_GB2312" w:hAnsi="楷体_GB2312" w:cs="楷体_GB2312" w:hint="eastAsia"/>
          <w:b/>
          <w:bCs/>
          <w:sz w:val="36"/>
          <w:szCs w:val="36"/>
        </w:rPr>
      </w:pPr>
    </w:p>
    <w:p w:rsidR="00000000" w:rsidRDefault="009A1129">
      <w:pPr>
        <w:spacing w:line="480" w:lineRule="auto"/>
        <w:rPr>
          <w:rFonts w:ascii="楷体_GB2312" w:eastAsia="楷体_GB2312" w:hAnsi="楷体_GB2312" w:cs="楷体_GB2312" w:hint="eastAsia"/>
          <w:b/>
          <w:bCs/>
          <w:sz w:val="36"/>
          <w:szCs w:val="36"/>
        </w:rPr>
      </w:pPr>
    </w:p>
    <w:p w:rsidR="00000000" w:rsidRDefault="009A1129">
      <w:pPr>
        <w:spacing w:line="480" w:lineRule="auto"/>
        <w:ind w:left="420"/>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lastRenderedPageBreak/>
        <w:t>第三部分</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就业相关分析</w:t>
      </w:r>
    </w:p>
    <w:p w:rsidR="00000000" w:rsidRDefault="009A1129">
      <w:pPr>
        <w:spacing w:line="480" w:lineRule="auto"/>
        <w:jc w:val="left"/>
        <w:rPr>
          <w:rFonts w:ascii="楷体_GB2312" w:eastAsia="楷体_GB2312" w:hAnsi="楷体_GB2312" w:cs="楷体_GB2312"/>
          <w:sz w:val="28"/>
          <w:szCs w:val="28"/>
        </w:rPr>
      </w:pPr>
      <w:r>
        <w:rPr>
          <w:rFonts w:ascii="楷体_GB2312" w:eastAsia="楷体_GB2312" w:hAnsi="楷体_GB2312" w:cs="楷体_GB2312" w:hint="eastAsia"/>
          <w:b/>
          <w:bCs/>
          <w:sz w:val="32"/>
          <w:szCs w:val="32"/>
        </w:rPr>
        <w:t>一、近三年毕业生就业分析</w:t>
      </w:r>
    </w:p>
    <w:p w:rsidR="00000000" w:rsidRDefault="009A1129">
      <w:pPr>
        <w:numPr>
          <w:ilvl w:val="0"/>
          <w:numId w:val="5"/>
        </w:num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就业率</w:t>
      </w:r>
    </w:p>
    <w:p w:rsidR="00000000" w:rsidRDefault="009A1129">
      <w:pPr>
        <w:spacing w:line="480" w:lineRule="auto"/>
        <w:ind w:firstLineChars="200" w:firstLine="560"/>
        <w:jc w:val="left"/>
        <w:rPr>
          <w:rFonts w:ascii="楷体_GB2312" w:eastAsia="楷体_GB2312" w:hAnsi="楷体_GB2312" w:cs="楷体_GB2312"/>
          <w:sz w:val="28"/>
          <w:szCs w:val="28"/>
        </w:rPr>
      </w:pPr>
      <w:r>
        <w:rPr>
          <w:rFonts w:ascii="楷体_GB2312" w:eastAsia="楷体_GB2312" w:hAnsi="楷体_GB2312" w:cs="楷体_GB2312" w:hint="eastAsia"/>
          <w:sz w:val="28"/>
          <w:szCs w:val="28"/>
        </w:rPr>
        <w:t>在严峻的就业形势下，学院以加强就业指导服务，拓宽就业渠道，鼓励学生升学出国等方式促进学生就业。近三年，我院毕业生初次就业率依次为</w:t>
      </w:r>
      <w:r>
        <w:rPr>
          <w:rFonts w:ascii="楷体_GB2312" w:eastAsia="楷体_GB2312" w:hAnsi="楷体_GB2312" w:cs="楷体_GB2312" w:hint="eastAsia"/>
          <w:sz w:val="28"/>
          <w:szCs w:val="28"/>
        </w:rPr>
        <w:t>87.85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88.19%</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85.26%</w:t>
      </w:r>
      <w:r>
        <w:rPr>
          <w:rFonts w:ascii="楷体_GB2312" w:eastAsia="楷体_GB2312" w:hAnsi="楷体_GB2312" w:cs="楷体_GB2312" w:hint="eastAsia"/>
          <w:sz w:val="28"/>
          <w:szCs w:val="28"/>
        </w:rPr>
        <w:t>，年终就业率依次为</w:t>
      </w:r>
      <w:r>
        <w:rPr>
          <w:rFonts w:ascii="楷体_GB2312" w:eastAsia="楷体_GB2312" w:hAnsi="楷体_GB2312" w:cs="楷体_GB2312" w:hint="eastAsia"/>
          <w:sz w:val="28"/>
          <w:szCs w:val="28"/>
        </w:rPr>
        <w:t>97.92%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98.06%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97.79%</w:t>
      </w:r>
      <w:r>
        <w:rPr>
          <w:rFonts w:ascii="楷体_GB2312" w:eastAsia="楷体_GB2312" w:hAnsi="楷体_GB2312" w:cs="楷体_GB2312" w:hint="eastAsia"/>
          <w:sz w:val="28"/>
          <w:szCs w:val="28"/>
        </w:rPr>
        <w:t>，总协议率依次为</w:t>
      </w:r>
      <w:r>
        <w:rPr>
          <w:rFonts w:ascii="楷体_GB2312" w:eastAsia="楷体_GB2312" w:hAnsi="楷体_GB2312" w:cs="楷体_GB2312" w:hint="eastAsia"/>
          <w:sz w:val="28"/>
          <w:szCs w:val="28"/>
        </w:rPr>
        <w:t>95.34%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95.52%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92.60%</w:t>
      </w:r>
      <w:r>
        <w:rPr>
          <w:rFonts w:ascii="楷体_GB2312" w:eastAsia="楷体_GB2312" w:hAnsi="楷体_GB2312" w:cs="楷体_GB2312" w:hint="eastAsia"/>
          <w:sz w:val="28"/>
          <w:szCs w:val="28"/>
        </w:rPr>
        <w:t>。初次就业率</w:t>
      </w:r>
      <w:r>
        <w:rPr>
          <w:rFonts w:ascii="楷体_GB2312" w:eastAsia="楷体_GB2312" w:hAnsi="楷体_GB2312" w:cs="楷体_GB2312" w:hint="eastAsia"/>
          <w:sz w:val="28"/>
          <w:szCs w:val="28"/>
        </w:rPr>
        <w:t>保持在</w:t>
      </w:r>
      <w:r>
        <w:rPr>
          <w:rFonts w:ascii="楷体_GB2312" w:eastAsia="楷体_GB2312" w:hAnsi="楷体_GB2312" w:cs="楷体_GB2312" w:hint="eastAsia"/>
          <w:sz w:val="28"/>
          <w:szCs w:val="28"/>
        </w:rPr>
        <w:t>85%</w:t>
      </w:r>
      <w:r>
        <w:rPr>
          <w:rFonts w:ascii="楷体_GB2312" w:eastAsia="楷体_GB2312" w:hAnsi="楷体_GB2312" w:cs="楷体_GB2312" w:hint="eastAsia"/>
          <w:sz w:val="28"/>
          <w:szCs w:val="28"/>
        </w:rPr>
        <w:t>以上</w:t>
      </w:r>
      <w:r>
        <w:rPr>
          <w:rFonts w:ascii="楷体_GB2312" w:eastAsia="楷体_GB2312" w:hAnsi="楷体_GB2312" w:cs="楷体_GB2312" w:hint="eastAsia"/>
          <w:sz w:val="28"/>
          <w:szCs w:val="28"/>
        </w:rPr>
        <w:t>，年终就业率稳定在</w:t>
      </w:r>
      <w:r>
        <w:rPr>
          <w:rFonts w:ascii="楷体_GB2312" w:eastAsia="楷体_GB2312" w:hAnsi="楷体_GB2312" w:cs="楷体_GB2312" w:hint="eastAsia"/>
          <w:sz w:val="28"/>
          <w:szCs w:val="28"/>
        </w:rPr>
        <w:t>98%</w:t>
      </w:r>
      <w:r>
        <w:rPr>
          <w:rFonts w:ascii="楷体_GB2312" w:eastAsia="楷体_GB2312" w:hAnsi="楷体_GB2312" w:cs="楷体_GB2312" w:hint="eastAsia"/>
          <w:sz w:val="28"/>
          <w:szCs w:val="28"/>
        </w:rPr>
        <w:t>左右</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3-1</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p w:rsidR="00000000" w:rsidRDefault="006666D3">
      <w:pPr>
        <w:spacing w:line="480" w:lineRule="auto"/>
        <w:ind w:firstLineChars="200" w:firstLine="420"/>
        <w:jc w:val="center"/>
        <w:rPr>
          <w:rFonts w:ascii="楷体_GB2312" w:eastAsia="楷体_GB2312" w:hAnsi="楷体_GB2312" w:cs="楷体_GB2312"/>
          <w:sz w:val="28"/>
          <w:szCs w:val="28"/>
        </w:rPr>
      </w:pPr>
      <w:r>
        <w:rPr>
          <w:noProof/>
        </w:rPr>
        <w:drawing>
          <wp:inline distT="0" distB="0" distL="0" distR="0">
            <wp:extent cx="4572000" cy="3371850"/>
            <wp:effectExtent l="4445" t="4445" r="14605" b="14605"/>
            <wp:docPr id="18"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00000" w:rsidRDefault="009A1129">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3-1  </w:t>
      </w:r>
      <w:r>
        <w:rPr>
          <w:rFonts w:ascii="楷体_GB2312" w:eastAsia="楷体_GB2312" w:hAnsi="楷体_GB2312" w:cs="楷体_GB2312" w:hint="eastAsia"/>
          <w:b/>
          <w:bCs/>
          <w:sz w:val="28"/>
          <w:szCs w:val="28"/>
        </w:rPr>
        <w:t>近三年毕业生就业率情况</w:t>
      </w:r>
    </w:p>
    <w:p w:rsidR="00000000" w:rsidRDefault="009A1129">
      <w:pPr>
        <w:spacing w:line="480" w:lineRule="auto"/>
        <w:jc w:val="center"/>
        <w:rPr>
          <w:rFonts w:ascii="楷体_GB2312" w:eastAsia="楷体_GB2312" w:hAnsi="楷体_GB2312" w:cs="楷体_GB2312" w:hint="eastAsia"/>
          <w:b/>
          <w:bCs/>
          <w:sz w:val="28"/>
          <w:szCs w:val="28"/>
        </w:rPr>
      </w:pPr>
    </w:p>
    <w:p w:rsidR="00000000" w:rsidRDefault="009A1129">
      <w:pPr>
        <w:spacing w:line="480" w:lineRule="auto"/>
        <w:rPr>
          <w:rFonts w:ascii="楷体_GB2312" w:eastAsia="楷体_GB2312" w:hAnsi="楷体_GB2312" w:cs="楷体_GB2312"/>
          <w:b/>
          <w:bCs/>
          <w:sz w:val="28"/>
          <w:szCs w:val="28"/>
        </w:rPr>
      </w:pPr>
      <w:r>
        <w:rPr>
          <w:rFonts w:ascii="楷体_GB2312" w:eastAsia="楷体_GB2312" w:hAnsi="楷体_GB2312" w:cs="楷体_GB2312" w:hint="eastAsia"/>
          <w:b/>
          <w:sz w:val="32"/>
          <w:szCs w:val="32"/>
        </w:rPr>
        <w:t>（二）</w:t>
      </w:r>
      <w:r>
        <w:rPr>
          <w:rFonts w:ascii="楷体_GB2312" w:eastAsia="楷体_GB2312" w:hAnsi="楷体_GB2312" w:cs="楷体_GB2312" w:hint="eastAsia"/>
          <w:b/>
          <w:bCs/>
          <w:sz w:val="28"/>
          <w:szCs w:val="28"/>
        </w:rPr>
        <w:t>就业流向</w:t>
      </w:r>
    </w:p>
    <w:p w:rsidR="00000000" w:rsidRDefault="009A1129">
      <w:pPr>
        <w:spacing w:line="480" w:lineRule="auto"/>
        <w:ind w:firstLineChars="200" w:firstLine="560"/>
        <w:jc w:val="left"/>
        <w:rPr>
          <w:rFonts w:ascii="楷体_GB2312" w:eastAsia="楷体_GB2312" w:hAnsi="楷体_GB2312" w:cs="楷体_GB2312" w:hint="eastAsia"/>
          <w:color w:val="FF0000"/>
          <w:sz w:val="28"/>
          <w:szCs w:val="28"/>
        </w:rPr>
      </w:pPr>
      <w:r>
        <w:rPr>
          <w:rFonts w:ascii="楷体_GB2312" w:eastAsia="楷体_GB2312" w:hAnsi="楷体_GB2312" w:cs="楷体_GB2312" w:hint="eastAsia"/>
          <w:sz w:val="28"/>
          <w:szCs w:val="28"/>
        </w:rPr>
        <w:t>随着社会竞争日趋激烈，就业压力不断增大，在毕业生总数及</w:t>
      </w:r>
      <w:r>
        <w:rPr>
          <w:rFonts w:ascii="楷体_GB2312" w:eastAsia="楷体_GB2312" w:hAnsi="楷体_GB2312" w:cs="楷体_GB2312" w:hint="eastAsia"/>
          <w:sz w:val="28"/>
          <w:szCs w:val="28"/>
        </w:rPr>
        <w:t>总</w:t>
      </w:r>
      <w:r>
        <w:rPr>
          <w:rFonts w:ascii="楷体_GB2312" w:eastAsia="楷体_GB2312" w:hAnsi="楷体_GB2312" w:cs="楷体_GB2312" w:hint="eastAsia"/>
          <w:sz w:val="28"/>
          <w:szCs w:val="28"/>
        </w:rPr>
        <w:t>就业率总体保持相对稳定的情况下，我院毕业生</w:t>
      </w:r>
      <w:r>
        <w:rPr>
          <w:rFonts w:ascii="楷体_GB2312" w:eastAsia="楷体_GB2312" w:hAnsi="楷体_GB2312" w:cs="楷体_GB2312" w:hint="eastAsia"/>
          <w:sz w:val="28"/>
          <w:szCs w:val="28"/>
        </w:rPr>
        <w:t>今年的升学出国率有</w:t>
      </w:r>
      <w:r>
        <w:rPr>
          <w:rFonts w:ascii="楷体_GB2312" w:eastAsia="楷体_GB2312" w:hAnsi="楷体_GB2312" w:cs="楷体_GB2312" w:hint="eastAsia"/>
          <w:sz w:val="28"/>
          <w:szCs w:val="28"/>
        </w:rPr>
        <w:lastRenderedPageBreak/>
        <w:t>所增加（见</w:t>
      </w:r>
      <w:r>
        <w:rPr>
          <w:rFonts w:ascii="楷体_GB2312" w:eastAsia="楷体_GB2312" w:hAnsi="楷体_GB2312" w:cs="楷体_GB2312" w:hint="eastAsia"/>
          <w:sz w:val="28"/>
          <w:szCs w:val="28"/>
        </w:rPr>
        <w:t>图</w:t>
      </w:r>
      <w:r>
        <w:rPr>
          <w:rFonts w:ascii="楷体_GB2312" w:eastAsia="楷体_GB2312" w:hAnsi="楷体_GB2312" w:cs="楷体_GB2312" w:hint="eastAsia"/>
          <w:sz w:val="28"/>
          <w:szCs w:val="28"/>
        </w:rPr>
        <w:t>3-2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p w:rsidR="00000000" w:rsidRDefault="006666D3">
      <w:pPr>
        <w:spacing w:line="480" w:lineRule="auto"/>
        <w:jc w:val="center"/>
        <w:rPr>
          <w:rFonts w:ascii="楷体_GB2312" w:eastAsia="楷体_GB2312" w:hAnsi="楷体_GB2312" w:cs="楷体_GB2312" w:hint="eastAsia"/>
          <w:b/>
          <w:bCs/>
          <w:color w:val="000000"/>
          <w:sz w:val="32"/>
          <w:szCs w:val="32"/>
        </w:rPr>
      </w:pPr>
      <w:r>
        <w:rPr>
          <w:noProof/>
        </w:rPr>
        <w:drawing>
          <wp:inline distT="0" distB="0" distL="0" distR="0">
            <wp:extent cx="4572000" cy="2743200"/>
            <wp:effectExtent l="4445" t="4445" r="14605" b="14605"/>
            <wp:docPr id="19" name="图表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00000" w:rsidRDefault="009A1129">
      <w:pPr>
        <w:spacing w:line="480" w:lineRule="auto"/>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3-2  </w:t>
      </w:r>
      <w:r>
        <w:rPr>
          <w:rFonts w:ascii="楷体_GB2312" w:eastAsia="楷体_GB2312" w:hAnsi="楷体_GB2312" w:cs="楷体_GB2312" w:hint="eastAsia"/>
          <w:b/>
          <w:bCs/>
          <w:sz w:val="28"/>
          <w:szCs w:val="28"/>
        </w:rPr>
        <w:t>近三年</w:t>
      </w:r>
      <w:r>
        <w:rPr>
          <w:rFonts w:ascii="楷体_GB2312" w:eastAsia="楷体_GB2312" w:hAnsi="楷体_GB2312" w:cs="楷体_GB2312" w:hint="eastAsia"/>
          <w:b/>
          <w:bCs/>
          <w:sz w:val="28"/>
          <w:szCs w:val="28"/>
        </w:rPr>
        <w:t>毕业生就业流向</w:t>
      </w:r>
    </w:p>
    <w:p w:rsidR="00000000" w:rsidRDefault="009A1129">
      <w:pPr>
        <w:spacing w:line="480" w:lineRule="auto"/>
        <w:jc w:val="center"/>
        <w:rPr>
          <w:rFonts w:ascii="楷体_GB2312" w:eastAsia="楷体_GB2312" w:hAnsi="楷体_GB2312" w:cs="楷体_GB2312" w:hint="eastAsia"/>
          <w:b/>
          <w:bCs/>
          <w:sz w:val="28"/>
          <w:szCs w:val="28"/>
        </w:rPr>
      </w:pPr>
    </w:p>
    <w:p w:rsidR="00000000" w:rsidRDefault="009A1129">
      <w:pPr>
        <w:spacing w:line="480" w:lineRule="auto"/>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（三）就业适配性</w:t>
      </w:r>
    </w:p>
    <w:p w:rsidR="00000000" w:rsidRDefault="009A1129">
      <w:pPr>
        <w:pStyle w:val="aa"/>
        <w:ind w:firstLineChars="200" w:firstLine="5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主要考察学生综合素质与就业岗位的匹配程</w:t>
      </w:r>
      <w:r>
        <w:rPr>
          <w:rFonts w:ascii="楷体_GB2312" w:eastAsia="楷体_GB2312" w:hAnsi="楷体_GB2312" w:cs="楷体_GB2312" w:hint="eastAsia"/>
          <w:sz w:val="28"/>
          <w:szCs w:val="28"/>
        </w:rPr>
        <w:t>度</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是反映毕业生就业质量的重要指标，主要包括：毕业生工作与专业相关度、毕业生目前工作与职业期待、毕业生对工作的满意度等方面。</w:t>
      </w: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w:t>
      </w:r>
      <w:r>
        <w:rPr>
          <w:rFonts w:ascii="楷体_GB2312" w:eastAsia="楷体_GB2312" w:hAnsi="楷体_GB2312" w:cs="楷体_GB2312" w:hint="eastAsia"/>
          <w:sz w:val="28"/>
          <w:szCs w:val="28"/>
        </w:rPr>
        <w:t>的工作与专业相关度为</w:t>
      </w:r>
      <w:r>
        <w:rPr>
          <w:rFonts w:ascii="楷体_GB2312" w:eastAsia="楷体_GB2312" w:hAnsi="楷体_GB2312" w:cs="楷体_GB2312" w:hint="eastAsia"/>
          <w:sz w:val="28"/>
          <w:szCs w:val="28"/>
        </w:rPr>
        <w:t>76.84%</w:t>
      </w:r>
      <w:r>
        <w:rPr>
          <w:rFonts w:ascii="楷体_GB2312" w:eastAsia="楷体_GB2312" w:hAnsi="楷体_GB2312" w:cs="楷体_GB2312" w:hint="eastAsia"/>
          <w:sz w:val="28"/>
          <w:szCs w:val="28"/>
        </w:rPr>
        <w:t>。毕业生工作与专业相关度较高的学部依次为医学部（五）和医学部（四），分别达</w:t>
      </w:r>
      <w:r>
        <w:rPr>
          <w:rFonts w:ascii="楷体_GB2312" w:eastAsia="楷体_GB2312" w:hAnsi="楷体_GB2312" w:cs="楷体_GB2312" w:hint="eastAsia"/>
          <w:sz w:val="28"/>
          <w:szCs w:val="28"/>
        </w:rPr>
        <w:t>98.99%</w:t>
      </w:r>
      <w:r>
        <w:rPr>
          <w:rFonts w:ascii="楷体_GB2312" w:eastAsia="楷体_GB2312" w:hAnsi="楷体_GB2312" w:cs="楷体_GB2312" w:hint="eastAsia"/>
          <w:sz w:val="28"/>
          <w:szCs w:val="28"/>
        </w:rPr>
        <w:t>和</w:t>
      </w:r>
      <w:r>
        <w:rPr>
          <w:rFonts w:ascii="楷体_GB2312" w:eastAsia="楷体_GB2312" w:hAnsi="楷体_GB2312" w:cs="楷体_GB2312" w:hint="eastAsia"/>
          <w:sz w:val="28"/>
          <w:szCs w:val="28"/>
        </w:rPr>
        <w:t>94.9%</w:t>
      </w:r>
      <w:r>
        <w:rPr>
          <w:rFonts w:ascii="楷体_GB2312" w:eastAsia="楷体_GB2312" w:hAnsi="楷体_GB2312" w:cs="楷体_GB2312" w:hint="eastAsia"/>
          <w:sz w:val="28"/>
          <w:szCs w:val="28"/>
        </w:rPr>
        <w:t>；毕业生工作与专业相关度较高的专业依次为医学影像技术、临床医学、临床医学（全科医学）、护理学和医学检验技术，分别达</w:t>
      </w:r>
      <w:r>
        <w:rPr>
          <w:rFonts w:ascii="楷体_GB2312" w:eastAsia="楷体_GB2312" w:hAnsi="楷体_GB2312" w:cs="楷体_GB2312" w:hint="eastAsia"/>
          <w:sz w:val="28"/>
          <w:szCs w:val="28"/>
        </w:rPr>
        <w:t>100%</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99.13%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98.46%</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97.27%</w:t>
      </w:r>
      <w:r>
        <w:rPr>
          <w:rFonts w:ascii="楷体_GB2312" w:eastAsia="楷体_GB2312" w:hAnsi="楷体_GB2312" w:cs="楷体_GB2312" w:hint="eastAsia"/>
          <w:sz w:val="28"/>
          <w:szCs w:val="28"/>
        </w:rPr>
        <w:t>和</w:t>
      </w:r>
      <w:r>
        <w:rPr>
          <w:rFonts w:ascii="楷体_GB2312" w:eastAsia="楷体_GB2312" w:hAnsi="楷体_GB2312" w:cs="楷体_GB2312" w:hint="eastAsia"/>
          <w:sz w:val="28"/>
          <w:szCs w:val="28"/>
        </w:rPr>
        <w:t>93.02%</w:t>
      </w:r>
      <w:r>
        <w:rPr>
          <w:rFonts w:ascii="楷体_GB2312" w:eastAsia="楷体_GB2312" w:hAnsi="楷体_GB2312" w:cs="楷体_GB2312" w:hint="eastAsia"/>
          <w:sz w:val="28"/>
          <w:szCs w:val="28"/>
        </w:rPr>
        <w:t>（见表</w:t>
      </w:r>
      <w:r>
        <w:rPr>
          <w:rFonts w:ascii="楷体_GB2312" w:eastAsia="楷体_GB2312" w:hAnsi="楷体_GB2312" w:cs="楷体_GB2312" w:hint="eastAsia"/>
          <w:sz w:val="28"/>
          <w:szCs w:val="28"/>
        </w:rPr>
        <w:t>3-1</w:t>
      </w:r>
      <w:r>
        <w:rPr>
          <w:rFonts w:ascii="楷体_GB2312" w:eastAsia="楷体_GB2312" w:hAnsi="楷体_GB2312" w:cs="楷体_GB2312" w:hint="eastAsia"/>
          <w:sz w:val="28"/>
          <w:szCs w:val="28"/>
        </w:rPr>
        <w:t>）。</w:t>
      </w:r>
    </w:p>
    <w:p w:rsidR="00000000" w:rsidRDefault="009A1129">
      <w:pPr>
        <w:spacing w:line="480" w:lineRule="auto"/>
        <w:ind w:firstLineChars="200" w:firstLine="560"/>
        <w:jc w:val="left"/>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2017</w:t>
      </w:r>
      <w:r>
        <w:rPr>
          <w:rFonts w:ascii="楷体_GB2312" w:eastAsia="楷体_GB2312" w:hAnsi="楷体_GB2312" w:cs="楷体_GB2312" w:hint="eastAsia"/>
          <w:sz w:val="28"/>
          <w:szCs w:val="28"/>
        </w:rPr>
        <w:t>届毕业生的工作满意度为</w:t>
      </w:r>
      <w:r>
        <w:rPr>
          <w:rFonts w:ascii="楷体_GB2312" w:eastAsia="楷体_GB2312" w:hAnsi="楷体_GB2312" w:cs="楷体_GB2312" w:hint="eastAsia"/>
          <w:sz w:val="28"/>
          <w:szCs w:val="28"/>
        </w:rPr>
        <w:t>83.4</w:t>
      </w:r>
      <w:r>
        <w:rPr>
          <w:rFonts w:ascii="楷体_GB2312" w:eastAsia="楷体_GB2312" w:hAnsi="楷体_GB2312" w:cs="楷体_GB2312" w:hint="eastAsia"/>
          <w:sz w:val="28"/>
          <w:szCs w:val="28"/>
        </w:rPr>
        <w:t>2%</w:t>
      </w:r>
      <w:r>
        <w:rPr>
          <w:rFonts w:ascii="楷体_GB2312" w:eastAsia="楷体_GB2312" w:hAnsi="楷体_GB2312" w:cs="楷体_GB2312" w:hint="eastAsia"/>
          <w:sz w:val="28"/>
          <w:szCs w:val="28"/>
        </w:rPr>
        <w:t>，而对工作不满意的最主要原因是收入低（</w:t>
      </w:r>
      <w:r>
        <w:rPr>
          <w:rFonts w:ascii="楷体_GB2312" w:eastAsia="楷体_GB2312" w:hAnsi="楷体_GB2312" w:cs="楷体_GB2312" w:hint="eastAsia"/>
          <w:sz w:val="28"/>
          <w:szCs w:val="28"/>
        </w:rPr>
        <w:t>71.65%</w:t>
      </w:r>
      <w:r>
        <w:rPr>
          <w:rFonts w:ascii="楷体_GB2312" w:eastAsia="楷体_GB2312" w:hAnsi="楷体_GB2312" w:cs="楷体_GB2312" w:hint="eastAsia"/>
          <w:sz w:val="28"/>
          <w:szCs w:val="28"/>
        </w:rPr>
        <w:t>）、个人发展空间小（</w:t>
      </w:r>
      <w:r>
        <w:rPr>
          <w:rFonts w:ascii="楷体_GB2312" w:eastAsia="楷体_GB2312" w:hAnsi="楷体_GB2312" w:cs="楷体_GB2312" w:hint="eastAsia"/>
          <w:sz w:val="28"/>
          <w:szCs w:val="28"/>
        </w:rPr>
        <w:t>58.25%</w:t>
      </w:r>
      <w:r>
        <w:rPr>
          <w:rFonts w:ascii="楷体_GB2312" w:eastAsia="楷体_GB2312" w:hAnsi="楷体_GB2312" w:cs="楷体_GB2312" w:hint="eastAsia"/>
          <w:sz w:val="28"/>
          <w:szCs w:val="28"/>
        </w:rPr>
        <w:t>）和单位发展前景不好（</w:t>
      </w:r>
      <w:r>
        <w:rPr>
          <w:rFonts w:ascii="楷体_GB2312" w:eastAsia="楷体_GB2312" w:hAnsi="楷体_GB2312" w:cs="楷体_GB2312" w:hint="eastAsia"/>
          <w:sz w:val="28"/>
          <w:szCs w:val="28"/>
        </w:rPr>
        <w:t>29.90%</w:t>
      </w:r>
      <w:r>
        <w:rPr>
          <w:rFonts w:ascii="楷体_GB2312" w:eastAsia="楷体_GB2312" w:hAnsi="楷体_GB2312" w:cs="楷体_GB2312" w:hint="eastAsia"/>
          <w:sz w:val="28"/>
          <w:szCs w:val="28"/>
        </w:rPr>
        <w:t>）等。</w:t>
      </w:r>
      <w:r>
        <w:rPr>
          <w:rFonts w:ascii="楷体_GB2312" w:eastAsia="楷体_GB2312" w:hAnsi="楷体_GB2312" w:cs="楷体_GB2312" w:hint="eastAsia"/>
          <w:sz w:val="28"/>
          <w:szCs w:val="28"/>
        </w:rPr>
        <w:t>毕业生</w:t>
      </w:r>
      <w:r>
        <w:rPr>
          <w:rFonts w:ascii="楷体_GB2312" w:eastAsia="楷体_GB2312" w:hAnsi="楷体_GB2312" w:cs="楷体_GB2312" w:hint="eastAsia"/>
          <w:sz w:val="28"/>
          <w:szCs w:val="28"/>
        </w:rPr>
        <w:t>的工作与职业期待吻合度为</w:t>
      </w:r>
      <w:r>
        <w:rPr>
          <w:rFonts w:ascii="楷体_GB2312" w:eastAsia="楷体_GB2312" w:hAnsi="楷体_GB2312" w:cs="楷体_GB2312" w:hint="eastAsia"/>
          <w:sz w:val="28"/>
          <w:szCs w:val="28"/>
        </w:rPr>
        <w:lastRenderedPageBreak/>
        <w:t>75.38%</w:t>
      </w:r>
      <w:r>
        <w:rPr>
          <w:rFonts w:ascii="楷体_GB2312" w:eastAsia="楷体_GB2312" w:hAnsi="楷体_GB2312" w:cs="楷体_GB2312" w:hint="eastAsia"/>
          <w:sz w:val="28"/>
          <w:szCs w:val="28"/>
        </w:rPr>
        <w:t>。毕业生认为目前工作与职业期待不符合的主要方面是收入（</w:t>
      </w:r>
      <w:r>
        <w:rPr>
          <w:rFonts w:ascii="楷体_GB2312" w:eastAsia="楷体_GB2312" w:hAnsi="楷体_GB2312" w:cs="楷体_GB2312" w:hint="eastAsia"/>
          <w:sz w:val="28"/>
          <w:szCs w:val="28"/>
        </w:rPr>
        <w:t>68.40%</w:t>
      </w:r>
      <w:r>
        <w:rPr>
          <w:rFonts w:ascii="楷体_GB2312" w:eastAsia="楷体_GB2312" w:hAnsi="楷体_GB2312" w:cs="楷体_GB2312" w:hint="eastAsia"/>
          <w:sz w:val="28"/>
          <w:szCs w:val="28"/>
        </w:rPr>
        <w:t>），其后依次是单位类型（单位规模</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性质）、个人兴趣爱好（均为</w:t>
      </w:r>
      <w:r>
        <w:rPr>
          <w:rFonts w:ascii="楷体_GB2312" w:eastAsia="楷体_GB2312" w:hAnsi="楷体_GB2312" w:cs="楷体_GB2312" w:hint="eastAsia"/>
          <w:sz w:val="28"/>
          <w:szCs w:val="28"/>
        </w:rPr>
        <w:t>32.99%</w:t>
      </w:r>
      <w:r>
        <w:rPr>
          <w:rFonts w:ascii="楷体_GB2312" w:eastAsia="楷体_GB2312" w:hAnsi="楷体_GB2312" w:cs="楷体_GB2312" w:hint="eastAsia"/>
          <w:sz w:val="28"/>
          <w:szCs w:val="28"/>
        </w:rPr>
        <w:t>）等。毕业生职业期待吻合度较高的学部是经济与管理学部（</w:t>
      </w:r>
      <w:r>
        <w:rPr>
          <w:rFonts w:ascii="楷体_GB2312" w:eastAsia="楷体_GB2312" w:hAnsi="楷体_GB2312" w:cs="楷体_GB2312" w:hint="eastAsia"/>
          <w:sz w:val="28"/>
          <w:szCs w:val="28"/>
        </w:rPr>
        <w:t>82.61%</w:t>
      </w:r>
      <w:r>
        <w:rPr>
          <w:rFonts w:ascii="楷体_GB2312" w:eastAsia="楷体_GB2312" w:hAnsi="楷体_GB2312" w:cs="楷体_GB2312" w:hint="eastAsia"/>
          <w:sz w:val="28"/>
          <w:szCs w:val="28"/>
        </w:rPr>
        <w:t>），特别是国际经济与贸易专业，职业期待吻合度达到</w:t>
      </w:r>
      <w:r>
        <w:rPr>
          <w:rFonts w:ascii="楷体_GB2312" w:eastAsia="楷体_GB2312" w:hAnsi="楷体_GB2312" w:cs="楷体_GB2312" w:hint="eastAsia"/>
          <w:sz w:val="28"/>
          <w:szCs w:val="28"/>
        </w:rPr>
        <w:t>88.46%</w:t>
      </w:r>
      <w:r>
        <w:rPr>
          <w:rFonts w:ascii="楷体_GB2312" w:eastAsia="楷体_GB2312" w:hAnsi="楷体_GB2312" w:cs="楷体_GB2312" w:hint="eastAsia"/>
          <w:sz w:val="28"/>
          <w:szCs w:val="28"/>
        </w:rPr>
        <w:t>（见表</w:t>
      </w:r>
      <w:r>
        <w:rPr>
          <w:rFonts w:ascii="楷体_GB2312" w:eastAsia="楷体_GB2312" w:hAnsi="楷体_GB2312" w:cs="楷体_GB2312" w:hint="eastAsia"/>
          <w:sz w:val="28"/>
          <w:szCs w:val="28"/>
        </w:rPr>
        <w:t>3-2</w:t>
      </w:r>
      <w:r>
        <w:rPr>
          <w:rFonts w:ascii="楷体_GB2312" w:eastAsia="楷体_GB2312" w:hAnsi="楷体_GB2312" w:cs="楷体_GB2312" w:hint="eastAsia"/>
          <w:sz w:val="28"/>
          <w:szCs w:val="28"/>
        </w:rPr>
        <w:t>）。</w:t>
      </w:r>
    </w:p>
    <w:p w:rsidR="00000000" w:rsidRDefault="009A1129">
      <w:pPr>
        <w:jc w:val="center"/>
        <w:rPr>
          <w:rFonts w:ascii="楷体_GB2312" w:eastAsia="楷体_GB2312" w:hAnsi="楷体_GB2312" w:cs="楷体_GB2312" w:hint="eastAsia"/>
          <w:sz w:val="28"/>
          <w:szCs w:val="28"/>
        </w:rPr>
      </w:pPr>
      <w:bookmarkStart w:id="0" w:name="分院系（专业）2016届本科生的职业期待吻合度"/>
      <w:bookmarkStart w:id="1" w:name="_Toc468717550"/>
      <w:bookmarkEnd w:id="0"/>
      <w:r>
        <w:rPr>
          <w:rFonts w:ascii="楷体_GB2312" w:eastAsia="楷体_GB2312" w:hAnsi="楷体_GB2312" w:cs="楷体_GB2312" w:hint="eastAsia"/>
          <w:sz w:val="28"/>
          <w:szCs w:val="28"/>
        </w:rPr>
        <w:t>表</w:t>
      </w:r>
      <w:r>
        <w:rPr>
          <w:rFonts w:ascii="楷体_GB2312" w:eastAsia="楷体_GB2312" w:hAnsi="楷体_GB2312" w:cs="楷体_GB2312" w:hint="eastAsia"/>
          <w:sz w:val="28"/>
          <w:szCs w:val="28"/>
        </w:rPr>
        <w:t xml:space="preserve"> 3-1  </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w:t>
      </w:r>
      <w:r>
        <w:rPr>
          <w:rFonts w:ascii="楷体_GB2312" w:eastAsia="楷体_GB2312" w:hAnsi="楷体_GB2312" w:cs="楷体_GB2312" w:hint="eastAsia"/>
          <w:sz w:val="28"/>
          <w:szCs w:val="28"/>
        </w:rPr>
        <w:t>工作与专业相关</w:t>
      </w:r>
      <w:r>
        <w:rPr>
          <w:rFonts w:ascii="楷体_GB2312" w:eastAsia="楷体_GB2312" w:hAnsi="楷体_GB2312" w:cs="楷体_GB2312" w:hint="eastAsia"/>
          <w:sz w:val="28"/>
          <w:szCs w:val="28"/>
        </w:rPr>
        <w:t>度</w:t>
      </w:r>
      <w:bookmarkEnd w:id="1"/>
    </w:p>
    <w:p w:rsidR="00000000" w:rsidRDefault="009A1129">
      <w:pPr>
        <w:jc w:val="right"/>
        <w:rPr>
          <w:rFonts w:ascii="楷体_GB2312" w:eastAsia="楷体_GB2312" w:hAnsi="楷体_GB2312" w:cs="楷体_GB2312" w:hint="eastAsia"/>
          <w:sz w:val="28"/>
          <w:szCs w:val="28"/>
        </w:rPr>
      </w:pPr>
      <w:r>
        <w:rPr>
          <w:b/>
          <w:sz w:val="18"/>
          <w:szCs w:val="18"/>
        </w:rPr>
        <w:t>单位</w:t>
      </w:r>
      <w:r>
        <w:rPr>
          <w:rFonts w:hint="eastAsia"/>
          <w:b/>
          <w:sz w:val="18"/>
          <w:szCs w:val="18"/>
        </w:rPr>
        <w:t>：</w:t>
      </w:r>
      <w:r>
        <w:rPr>
          <w:rFonts w:ascii="Calibri" w:hAnsi="Calibri" w:cs="宋体"/>
          <w:b/>
          <w:bCs/>
          <w:color w:val="000000"/>
          <w:kern w:val="0"/>
          <w:sz w:val="18"/>
          <w:szCs w:val="18"/>
        </w:rPr>
        <w:t>%</w:t>
      </w:r>
    </w:p>
    <w:tbl>
      <w:tblPr>
        <w:tblpPr w:leftFromText="180" w:rightFromText="180" w:vertAnchor="text" w:horzAnchor="page" w:tblpX="2177" w:tblpY="421"/>
        <w:tblOverlap w:val="never"/>
        <w:tblW w:w="0" w:type="auto"/>
        <w:tblInd w:w="0" w:type="dxa"/>
        <w:tblLayout w:type="fixed"/>
        <w:tblCellMar>
          <w:top w:w="15" w:type="dxa"/>
          <w:left w:w="15" w:type="dxa"/>
          <w:bottom w:w="15" w:type="dxa"/>
          <w:right w:w="15" w:type="dxa"/>
        </w:tblCellMar>
        <w:tblLook w:val="0000"/>
      </w:tblPr>
      <w:tblGrid>
        <w:gridCol w:w="1787"/>
        <w:gridCol w:w="2059"/>
        <w:gridCol w:w="1757"/>
        <w:gridCol w:w="2024"/>
      </w:tblGrid>
      <w:tr w:rsidR="00000000">
        <w:trPr>
          <w:trHeight w:val="285"/>
        </w:trPr>
        <w:tc>
          <w:tcPr>
            <w:tcW w:w="1787" w:type="dxa"/>
            <w:tcBorders>
              <w:top w:val="single" w:sz="12" w:space="0" w:color="FFFFFF"/>
              <w:left w:val="single" w:sz="12" w:space="0" w:color="FFFFFF"/>
              <w:right w:val="single" w:sz="12" w:space="0" w:color="FFFFFF"/>
            </w:tcBorders>
            <w:shd w:val="clear" w:color="auto" w:fill="8DB3E2"/>
            <w:vAlign w:val="center"/>
          </w:tcPr>
          <w:p w:rsidR="00000000" w:rsidRDefault="009A1129">
            <w:pPr>
              <w:widowControl/>
              <w:jc w:val="center"/>
              <w:textAlignment w:val="center"/>
              <w:rPr>
                <w:rFonts w:ascii="Calibri" w:hAnsi="Calibri" w:cs="Calibri"/>
                <w:b/>
                <w:color w:val="000000"/>
                <w:sz w:val="20"/>
                <w:szCs w:val="20"/>
              </w:rPr>
            </w:pPr>
            <w:r>
              <w:rPr>
                <w:rFonts w:ascii="Calibri" w:hAnsi="Calibri" w:cs="Calibri"/>
                <w:b/>
                <w:color w:val="000000"/>
                <w:kern w:val="0"/>
                <w:sz w:val="20"/>
                <w:szCs w:val="20"/>
                <w:lang/>
              </w:rPr>
              <w:t>院系</w:t>
            </w:r>
            <w:r>
              <w:rPr>
                <w:rFonts w:ascii="Calibri" w:hAnsi="Calibri" w:cs="Calibri"/>
                <w:b/>
                <w:color w:val="000000"/>
                <w:kern w:val="0"/>
                <w:sz w:val="20"/>
                <w:szCs w:val="20"/>
                <w:lang/>
              </w:rPr>
              <w:t>名称</w:t>
            </w:r>
          </w:p>
        </w:tc>
        <w:tc>
          <w:tcPr>
            <w:tcW w:w="2059" w:type="dxa"/>
            <w:tcBorders>
              <w:top w:val="single" w:sz="12" w:space="0" w:color="FFFFFF"/>
              <w:left w:val="single" w:sz="12" w:space="0" w:color="FFFFFF"/>
              <w:right w:val="single" w:sz="12" w:space="0" w:color="FFFFFF"/>
            </w:tcBorders>
            <w:shd w:val="clear" w:color="auto" w:fill="8DB3E2"/>
            <w:vAlign w:val="center"/>
          </w:tcPr>
          <w:p w:rsidR="00000000" w:rsidRDefault="009A1129">
            <w:pPr>
              <w:widowControl/>
              <w:jc w:val="center"/>
              <w:textAlignment w:val="center"/>
              <w:rPr>
                <w:rFonts w:ascii="Calibri" w:hAnsi="Calibri" w:cs="Calibri"/>
                <w:b/>
                <w:color w:val="000000"/>
                <w:kern w:val="0"/>
                <w:sz w:val="20"/>
                <w:szCs w:val="20"/>
                <w:lang/>
              </w:rPr>
            </w:pPr>
            <w:r>
              <w:rPr>
                <w:rFonts w:ascii="Calibri" w:hAnsi="Calibri" w:cs="Calibri"/>
                <w:b/>
                <w:color w:val="000000"/>
                <w:kern w:val="0"/>
                <w:sz w:val="20"/>
                <w:szCs w:val="20"/>
                <w:lang/>
              </w:rPr>
              <w:t>各院系工作与专业</w:t>
            </w:r>
          </w:p>
          <w:p w:rsidR="00000000" w:rsidRDefault="009A1129">
            <w:pPr>
              <w:widowControl/>
              <w:jc w:val="center"/>
              <w:textAlignment w:val="center"/>
              <w:rPr>
                <w:rFonts w:ascii="Calibri" w:hAnsi="Calibri" w:cs="Calibri"/>
                <w:b/>
                <w:color w:val="000000"/>
                <w:sz w:val="20"/>
                <w:szCs w:val="20"/>
              </w:rPr>
            </w:pPr>
            <w:r>
              <w:rPr>
                <w:rFonts w:ascii="Calibri" w:hAnsi="Calibri" w:cs="Calibri"/>
                <w:b/>
                <w:color w:val="000000"/>
                <w:kern w:val="0"/>
                <w:sz w:val="20"/>
                <w:szCs w:val="20"/>
                <w:lang/>
              </w:rPr>
              <w:t>相关度</w:t>
            </w:r>
          </w:p>
        </w:tc>
        <w:tc>
          <w:tcPr>
            <w:tcW w:w="1757" w:type="dxa"/>
            <w:tcBorders>
              <w:top w:val="single" w:sz="12" w:space="0" w:color="FFFFFF"/>
              <w:left w:val="single" w:sz="12" w:space="0" w:color="FFFFFF"/>
              <w:right w:val="single" w:sz="12" w:space="0" w:color="FFFFFF"/>
            </w:tcBorders>
            <w:shd w:val="clear" w:color="auto" w:fill="8DB3E2"/>
            <w:vAlign w:val="center"/>
          </w:tcPr>
          <w:p w:rsidR="00000000" w:rsidRDefault="009A1129">
            <w:pPr>
              <w:widowControl/>
              <w:jc w:val="center"/>
              <w:textAlignment w:val="center"/>
              <w:rPr>
                <w:rFonts w:ascii="Calibri" w:hAnsi="Calibri" w:cs="Calibri"/>
                <w:b/>
                <w:color w:val="000000"/>
                <w:sz w:val="20"/>
                <w:szCs w:val="20"/>
              </w:rPr>
            </w:pPr>
            <w:r>
              <w:rPr>
                <w:rFonts w:ascii="Calibri" w:hAnsi="Calibri" w:cs="Calibri"/>
                <w:b/>
                <w:color w:val="000000"/>
                <w:kern w:val="0"/>
                <w:sz w:val="20"/>
                <w:szCs w:val="20"/>
                <w:lang/>
              </w:rPr>
              <w:t>专业名称</w:t>
            </w:r>
          </w:p>
        </w:tc>
        <w:tc>
          <w:tcPr>
            <w:tcW w:w="2024" w:type="dxa"/>
            <w:tcBorders>
              <w:top w:val="single" w:sz="12" w:space="0" w:color="FFFFFF"/>
              <w:left w:val="single" w:sz="12" w:space="0" w:color="FFFFFF"/>
              <w:right w:val="single" w:sz="12" w:space="0" w:color="FFFFFF"/>
            </w:tcBorders>
            <w:shd w:val="clear" w:color="auto" w:fill="8DB3E2"/>
            <w:vAlign w:val="center"/>
          </w:tcPr>
          <w:p w:rsidR="00000000" w:rsidRDefault="009A1129">
            <w:pPr>
              <w:widowControl/>
              <w:jc w:val="center"/>
              <w:textAlignment w:val="center"/>
              <w:rPr>
                <w:rFonts w:ascii="Calibri" w:hAnsi="Calibri" w:cs="Calibri"/>
                <w:b/>
                <w:color w:val="000000"/>
                <w:kern w:val="0"/>
                <w:sz w:val="20"/>
                <w:szCs w:val="20"/>
                <w:lang/>
              </w:rPr>
            </w:pPr>
            <w:r>
              <w:rPr>
                <w:rFonts w:ascii="Calibri" w:hAnsi="Calibri" w:cs="Calibri"/>
                <w:b/>
                <w:color w:val="000000"/>
                <w:kern w:val="0"/>
                <w:sz w:val="20"/>
                <w:szCs w:val="20"/>
                <w:lang/>
              </w:rPr>
              <w:t>各专业工作与专业</w:t>
            </w:r>
          </w:p>
          <w:p w:rsidR="00000000" w:rsidRDefault="009A1129">
            <w:pPr>
              <w:widowControl/>
              <w:jc w:val="center"/>
              <w:textAlignment w:val="center"/>
              <w:rPr>
                <w:rFonts w:ascii="Calibri" w:hAnsi="Calibri" w:cs="Calibri"/>
                <w:b/>
                <w:color w:val="000000"/>
                <w:sz w:val="20"/>
                <w:szCs w:val="20"/>
              </w:rPr>
            </w:pPr>
            <w:r>
              <w:rPr>
                <w:rFonts w:ascii="Calibri" w:hAnsi="Calibri" w:cs="Calibri"/>
                <w:b/>
                <w:color w:val="000000"/>
                <w:kern w:val="0"/>
                <w:sz w:val="20"/>
                <w:szCs w:val="20"/>
                <w:lang/>
              </w:rPr>
              <w:t>相关度</w:t>
            </w:r>
          </w:p>
        </w:tc>
      </w:tr>
      <w:tr w:rsidR="00000000">
        <w:trPr>
          <w:trHeight w:val="285"/>
        </w:trPr>
        <w:tc>
          <w:tcPr>
            <w:tcW w:w="1787" w:type="dxa"/>
            <w:vMerge w:val="restart"/>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医学部（五）</w:t>
            </w:r>
          </w:p>
        </w:tc>
        <w:tc>
          <w:tcPr>
            <w:tcW w:w="2059" w:type="dxa"/>
            <w:vMerge w:val="restart"/>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98.99</w:t>
            </w: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临床医学</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99.13</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临床医学（全科医学）</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98.46</w:t>
            </w:r>
          </w:p>
        </w:tc>
      </w:tr>
      <w:tr w:rsidR="00000000">
        <w:trPr>
          <w:trHeight w:val="285"/>
        </w:trPr>
        <w:tc>
          <w:tcPr>
            <w:tcW w:w="1787" w:type="dxa"/>
            <w:vMerge w:val="restart"/>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医学部</w:t>
            </w:r>
            <w:r>
              <w:rPr>
                <w:rFonts w:ascii="Calibri" w:hAnsi="Calibri" w:cs="Calibri"/>
                <w:color w:val="000000"/>
                <w:kern w:val="0"/>
                <w:sz w:val="20"/>
                <w:szCs w:val="20"/>
                <w:lang/>
              </w:rPr>
              <w:t>(</w:t>
            </w:r>
            <w:r>
              <w:rPr>
                <w:rFonts w:ascii="Calibri" w:hAnsi="Calibri" w:cs="Calibri"/>
                <w:color w:val="000000"/>
                <w:kern w:val="0"/>
                <w:sz w:val="20"/>
                <w:szCs w:val="20"/>
                <w:lang/>
              </w:rPr>
              <w:t>四）</w:t>
            </w:r>
          </w:p>
        </w:tc>
        <w:tc>
          <w:tcPr>
            <w:tcW w:w="2059" w:type="dxa"/>
            <w:vMerge w:val="restart"/>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94.90</w:t>
            </w: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医学影像技术</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100.00</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护理学</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97.27</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医学检验技术</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93.02</w:t>
            </w:r>
          </w:p>
        </w:tc>
      </w:tr>
      <w:tr w:rsidR="00000000">
        <w:trPr>
          <w:trHeight w:val="285"/>
        </w:trPr>
        <w:tc>
          <w:tcPr>
            <w:tcW w:w="178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信息科学部</w:t>
            </w:r>
          </w:p>
        </w:tc>
        <w:tc>
          <w:tcPr>
            <w:tcW w:w="2059"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67.16</w:t>
            </w: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自动化</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55.56</w:t>
            </w:r>
          </w:p>
        </w:tc>
      </w:tr>
      <w:tr w:rsidR="00000000">
        <w:trPr>
          <w:trHeight w:val="285"/>
        </w:trPr>
        <w:tc>
          <w:tcPr>
            <w:tcW w:w="1787" w:type="dxa"/>
            <w:vMerge w:val="restart"/>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人文学部</w:t>
            </w:r>
          </w:p>
        </w:tc>
        <w:tc>
          <w:tcPr>
            <w:tcW w:w="2059" w:type="dxa"/>
            <w:vMerge w:val="restart"/>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63.89</w:t>
            </w: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英语</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79.31</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动画</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76.47</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视觉传达设计</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73.68</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环境设计</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62.50</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日语</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50.00</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汉语言文学</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46.15</w:t>
            </w:r>
          </w:p>
        </w:tc>
      </w:tr>
      <w:tr w:rsidR="00000000">
        <w:trPr>
          <w:trHeight w:val="285"/>
        </w:trPr>
        <w:tc>
          <w:tcPr>
            <w:tcW w:w="1787" w:type="dxa"/>
            <w:vMerge w:val="restart"/>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工程学部</w:t>
            </w:r>
          </w:p>
        </w:tc>
        <w:tc>
          <w:tcPr>
            <w:tcW w:w="2059" w:type="dxa"/>
            <w:vMerge w:val="restart"/>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6</w:t>
            </w:r>
            <w:r>
              <w:rPr>
                <w:rFonts w:ascii="Calibri" w:hAnsi="Calibri" w:cs="Calibri"/>
                <w:color w:val="000000"/>
                <w:kern w:val="0"/>
                <w:sz w:val="20"/>
                <w:szCs w:val="20"/>
                <w:lang/>
              </w:rPr>
              <w:t>3.49</w:t>
            </w: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化学工程与工艺</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78.95</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服装设计与工程</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75.86</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土木工程</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70.73</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机械工程</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68.75</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工程管理</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62.07</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纺织工程</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57.58</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服装与服饰设计</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51.11</w:t>
            </w:r>
          </w:p>
        </w:tc>
      </w:tr>
      <w:tr w:rsidR="00000000">
        <w:trPr>
          <w:trHeight w:val="285"/>
        </w:trPr>
        <w:tc>
          <w:tcPr>
            <w:tcW w:w="1787" w:type="dxa"/>
            <w:vMerge w:val="restart"/>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经济与管理学部</w:t>
            </w:r>
          </w:p>
        </w:tc>
        <w:tc>
          <w:tcPr>
            <w:tcW w:w="2059" w:type="dxa"/>
            <w:vMerge w:val="restart"/>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62.32</w:t>
            </w: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行政管理</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75.00</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会计学</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67.57</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市场营销</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62.07</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城市管理</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52.94</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国际经济与贸易</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50.00</w:t>
            </w:r>
          </w:p>
        </w:tc>
      </w:tr>
      <w:tr w:rsidR="00000000">
        <w:trPr>
          <w:trHeight w:val="285"/>
        </w:trPr>
        <w:tc>
          <w:tcPr>
            <w:tcW w:w="1787" w:type="dxa"/>
            <w:vMerge w:val="restart"/>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理学部</w:t>
            </w:r>
          </w:p>
        </w:tc>
        <w:tc>
          <w:tcPr>
            <w:tcW w:w="2059" w:type="dxa"/>
            <w:vMerge w:val="restart"/>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50.00</w:t>
            </w: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应用心理学</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66.67</w:t>
            </w:r>
          </w:p>
        </w:tc>
      </w:tr>
      <w:tr w:rsidR="00000000">
        <w:trPr>
          <w:trHeight w:val="285"/>
        </w:trPr>
        <w:tc>
          <w:tcPr>
            <w:tcW w:w="1787"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left"/>
              <w:rPr>
                <w:rFonts w:ascii="Calibri" w:hAnsi="Calibri" w:cs="Calibri"/>
                <w:color w:val="000000"/>
                <w:sz w:val="20"/>
                <w:szCs w:val="20"/>
              </w:rPr>
            </w:pPr>
          </w:p>
        </w:tc>
        <w:tc>
          <w:tcPr>
            <w:tcW w:w="2059" w:type="dxa"/>
            <w:vMerge/>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jc w:val="center"/>
              <w:rPr>
                <w:rFonts w:ascii="Calibri" w:hAnsi="Calibri" w:cs="Calibri"/>
                <w:color w:val="000000"/>
                <w:sz w:val="20"/>
                <w:szCs w:val="20"/>
              </w:rPr>
            </w:pPr>
          </w:p>
        </w:tc>
        <w:tc>
          <w:tcPr>
            <w:tcW w:w="175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color w:val="000000"/>
                <w:sz w:val="20"/>
                <w:szCs w:val="20"/>
              </w:rPr>
            </w:pPr>
            <w:r>
              <w:rPr>
                <w:rFonts w:ascii="Calibri" w:hAnsi="Calibri" w:cs="Calibri"/>
                <w:color w:val="000000"/>
                <w:kern w:val="0"/>
                <w:sz w:val="20"/>
                <w:szCs w:val="20"/>
                <w:lang/>
              </w:rPr>
              <w:t>应用统计学</w:t>
            </w:r>
          </w:p>
        </w:tc>
        <w:tc>
          <w:tcPr>
            <w:tcW w:w="2024"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color w:val="000000"/>
                <w:sz w:val="20"/>
                <w:szCs w:val="20"/>
              </w:rPr>
            </w:pPr>
            <w:r>
              <w:rPr>
                <w:rFonts w:ascii="Calibri" w:hAnsi="Calibri" w:cs="Calibri"/>
                <w:color w:val="000000"/>
                <w:kern w:val="0"/>
                <w:sz w:val="20"/>
                <w:szCs w:val="20"/>
                <w:lang/>
              </w:rPr>
              <w:t>61.29</w:t>
            </w:r>
          </w:p>
        </w:tc>
      </w:tr>
      <w:tr w:rsidR="00000000">
        <w:trPr>
          <w:trHeight w:val="285"/>
        </w:trPr>
        <w:tc>
          <w:tcPr>
            <w:tcW w:w="1787"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left"/>
              <w:textAlignment w:val="center"/>
              <w:rPr>
                <w:rFonts w:ascii="Calibri" w:hAnsi="Calibri" w:cs="Calibri"/>
                <w:b/>
                <w:color w:val="000000"/>
                <w:sz w:val="20"/>
                <w:szCs w:val="20"/>
              </w:rPr>
            </w:pPr>
            <w:r>
              <w:rPr>
                <w:rFonts w:ascii="Calibri" w:hAnsi="Calibri" w:cs="Calibri"/>
                <w:b/>
                <w:color w:val="000000"/>
                <w:kern w:val="0"/>
                <w:sz w:val="20"/>
                <w:szCs w:val="20"/>
                <w:lang/>
              </w:rPr>
              <w:t>本校本科平均</w:t>
            </w:r>
          </w:p>
        </w:tc>
        <w:tc>
          <w:tcPr>
            <w:tcW w:w="2059" w:type="dxa"/>
            <w:tcBorders>
              <w:top w:val="single" w:sz="12" w:space="0" w:color="FFFFFF"/>
              <w:left w:val="single" w:sz="12" w:space="0" w:color="FFFFFF"/>
              <w:bottom w:val="single" w:sz="12" w:space="0" w:color="FFFFFF"/>
              <w:right w:val="single" w:sz="12" w:space="0" w:color="FFFFFF"/>
            </w:tcBorders>
            <w:shd w:val="clear" w:color="auto" w:fill="C5D5E9"/>
            <w:vAlign w:val="center"/>
          </w:tcPr>
          <w:p w:rsidR="00000000" w:rsidRDefault="009A1129">
            <w:pPr>
              <w:widowControl/>
              <w:jc w:val="center"/>
              <w:textAlignment w:val="center"/>
              <w:rPr>
                <w:rFonts w:ascii="Calibri" w:hAnsi="Calibri" w:cs="Calibri"/>
                <w:b/>
                <w:color w:val="000000"/>
                <w:sz w:val="20"/>
                <w:szCs w:val="20"/>
              </w:rPr>
            </w:pPr>
            <w:r>
              <w:rPr>
                <w:rFonts w:ascii="Calibri" w:hAnsi="Calibri" w:cs="Calibri"/>
                <w:b/>
                <w:color w:val="000000"/>
                <w:kern w:val="0"/>
                <w:sz w:val="20"/>
                <w:szCs w:val="20"/>
                <w:lang/>
              </w:rPr>
              <w:t>76.84</w:t>
            </w:r>
          </w:p>
        </w:tc>
        <w:tc>
          <w:tcPr>
            <w:tcW w:w="1757"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left"/>
              <w:textAlignment w:val="center"/>
              <w:rPr>
                <w:rFonts w:ascii="Calibri" w:hAnsi="Calibri" w:cs="Calibri"/>
                <w:b/>
                <w:color w:val="000000"/>
                <w:sz w:val="20"/>
                <w:szCs w:val="20"/>
              </w:rPr>
            </w:pPr>
            <w:r>
              <w:rPr>
                <w:rFonts w:ascii="Calibri" w:hAnsi="Calibri" w:cs="Calibri"/>
                <w:b/>
                <w:color w:val="000000"/>
                <w:kern w:val="0"/>
                <w:sz w:val="20"/>
                <w:szCs w:val="20"/>
                <w:lang/>
              </w:rPr>
              <w:t>本校本科平均</w:t>
            </w:r>
          </w:p>
        </w:tc>
        <w:tc>
          <w:tcPr>
            <w:tcW w:w="2024" w:type="dxa"/>
            <w:tcBorders>
              <w:top w:val="single" w:sz="12" w:space="0" w:color="FFFFFF"/>
              <w:left w:val="single" w:sz="12" w:space="0" w:color="FFFFFF"/>
              <w:bottom w:val="single" w:sz="12" w:space="0" w:color="FFFFFF"/>
              <w:right w:val="single" w:sz="12" w:space="0" w:color="FFFFFF"/>
            </w:tcBorders>
            <w:shd w:val="clear" w:color="auto" w:fill="F6F8FC"/>
            <w:vAlign w:val="center"/>
          </w:tcPr>
          <w:p w:rsidR="00000000" w:rsidRDefault="009A1129">
            <w:pPr>
              <w:widowControl/>
              <w:jc w:val="center"/>
              <w:textAlignment w:val="center"/>
              <w:rPr>
                <w:rFonts w:ascii="Calibri" w:hAnsi="Calibri" w:cs="Calibri"/>
                <w:b/>
                <w:color w:val="000000"/>
                <w:sz w:val="20"/>
                <w:szCs w:val="20"/>
              </w:rPr>
            </w:pPr>
            <w:r>
              <w:rPr>
                <w:rFonts w:ascii="Calibri" w:hAnsi="Calibri" w:cs="Calibri"/>
                <w:b/>
                <w:color w:val="000000"/>
                <w:kern w:val="0"/>
                <w:sz w:val="20"/>
                <w:szCs w:val="20"/>
                <w:lang/>
              </w:rPr>
              <w:t>76.8</w:t>
            </w:r>
            <w:r>
              <w:rPr>
                <w:rFonts w:ascii="Calibri" w:hAnsi="Calibri" w:cs="Calibri"/>
                <w:b/>
                <w:color w:val="000000"/>
                <w:kern w:val="0"/>
                <w:sz w:val="20"/>
                <w:szCs w:val="20"/>
                <w:lang/>
              </w:rPr>
              <w:t>4</w:t>
            </w:r>
          </w:p>
        </w:tc>
      </w:tr>
    </w:tbl>
    <w:p w:rsidR="00000000" w:rsidRDefault="009A1129">
      <w:pPr>
        <w:jc w:val="right"/>
        <w:rPr>
          <w:b/>
          <w:sz w:val="18"/>
          <w:szCs w:val="18"/>
        </w:rPr>
      </w:pPr>
    </w:p>
    <w:p w:rsidR="00000000" w:rsidRDefault="009A1129">
      <w:pPr>
        <w:jc w:val="center"/>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表</w:t>
      </w:r>
      <w:r>
        <w:rPr>
          <w:rFonts w:ascii="楷体_GB2312" w:eastAsia="楷体_GB2312" w:hAnsi="楷体_GB2312" w:cs="楷体_GB2312" w:hint="eastAsia"/>
          <w:sz w:val="28"/>
          <w:szCs w:val="28"/>
        </w:rPr>
        <w:t xml:space="preserve"> 3-2  </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w:t>
      </w:r>
      <w:r>
        <w:rPr>
          <w:rFonts w:ascii="楷体_GB2312" w:eastAsia="楷体_GB2312" w:hAnsi="楷体_GB2312" w:cs="楷体_GB2312" w:hint="eastAsia"/>
          <w:sz w:val="28"/>
          <w:szCs w:val="28"/>
        </w:rPr>
        <w:t>职业期待吻合度</w:t>
      </w:r>
    </w:p>
    <w:p w:rsidR="00000000" w:rsidRDefault="009A1129">
      <w:pPr>
        <w:jc w:val="right"/>
        <w:rPr>
          <w:rFonts w:hint="eastAsia"/>
          <w:b/>
          <w:sz w:val="18"/>
          <w:szCs w:val="18"/>
        </w:rPr>
      </w:pPr>
      <w:r>
        <w:rPr>
          <w:b/>
          <w:sz w:val="18"/>
          <w:szCs w:val="18"/>
        </w:rPr>
        <w:t>单位</w:t>
      </w:r>
      <w:r>
        <w:rPr>
          <w:rFonts w:hint="eastAsia"/>
          <w:b/>
          <w:sz w:val="18"/>
          <w:szCs w:val="18"/>
        </w:rPr>
        <w:t>：</w:t>
      </w:r>
      <w:r>
        <w:rPr>
          <w:b/>
          <w:sz w:val="18"/>
          <w:szCs w:val="18"/>
        </w:rPr>
        <w:t>%</w:t>
      </w:r>
    </w:p>
    <w:tbl>
      <w:tblPr>
        <w:tblW w:w="0" w:type="auto"/>
        <w:tblInd w:w="0" w:type="dxa"/>
        <w:tblLayout w:type="fixed"/>
        <w:tblLook w:val="0000"/>
      </w:tblPr>
      <w:tblGrid>
        <w:gridCol w:w="2222"/>
        <w:gridCol w:w="2222"/>
        <w:gridCol w:w="2223"/>
        <w:gridCol w:w="2223"/>
      </w:tblGrid>
      <w:tr w:rsidR="00000000">
        <w:trPr>
          <w:trHeight w:val="285"/>
          <w:tblHeader/>
        </w:trPr>
        <w:tc>
          <w:tcPr>
            <w:tcW w:w="2222" w:type="dxa"/>
            <w:tcBorders>
              <w:top w:val="single" w:sz="8" w:space="0" w:color="FFFFFF"/>
              <w:left w:val="single" w:sz="8" w:space="0" w:color="FFFFFF"/>
              <w:bottom w:val="nil"/>
              <w:right w:val="single" w:sz="8" w:space="0" w:color="FFFFFF"/>
            </w:tcBorders>
            <w:shd w:val="clear" w:color="000000" w:fill="8DB3E2"/>
            <w:vAlign w:val="center"/>
          </w:tcPr>
          <w:p w:rsidR="00000000" w:rsidRDefault="009A1129">
            <w:pPr>
              <w:widowControl/>
              <w:spacing w:line="320" w:lineRule="exact"/>
              <w:jc w:val="center"/>
              <w:rPr>
                <w:rFonts w:ascii="Calibri" w:hAnsi="Calibri"/>
                <w:b/>
                <w:bCs/>
                <w:color w:val="000000"/>
                <w:kern w:val="0"/>
                <w:sz w:val="20"/>
                <w:szCs w:val="20"/>
              </w:rPr>
            </w:pPr>
            <w:bookmarkStart w:id="2" w:name="分院系（专业）2017届本科生的职业期待吻合度"/>
            <w:bookmarkEnd w:id="2"/>
            <w:r>
              <w:rPr>
                <w:rFonts w:ascii="Calibri" w:hAnsi="Calibri"/>
                <w:b/>
                <w:bCs/>
                <w:color w:val="000000"/>
                <w:sz w:val="20"/>
                <w:szCs w:val="20"/>
              </w:rPr>
              <w:t>院系名称</w:t>
            </w:r>
          </w:p>
        </w:tc>
        <w:tc>
          <w:tcPr>
            <w:tcW w:w="2222" w:type="dxa"/>
            <w:tcBorders>
              <w:top w:val="single" w:sz="8" w:space="0" w:color="FFFFFF"/>
              <w:left w:val="nil"/>
              <w:bottom w:val="nil"/>
              <w:right w:val="single" w:sz="8" w:space="0" w:color="FFFFFF"/>
            </w:tcBorders>
            <w:shd w:val="clear" w:color="000000" w:fill="8DB3E2"/>
            <w:vAlign w:val="center"/>
          </w:tcPr>
          <w:p w:rsidR="00000000" w:rsidRDefault="009A1129">
            <w:pPr>
              <w:spacing w:line="320" w:lineRule="exact"/>
              <w:jc w:val="center"/>
              <w:rPr>
                <w:rFonts w:ascii="Calibri" w:hAnsi="Calibri"/>
                <w:b/>
                <w:bCs/>
                <w:color w:val="000000"/>
                <w:sz w:val="20"/>
                <w:szCs w:val="20"/>
              </w:rPr>
            </w:pPr>
            <w:r>
              <w:rPr>
                <w:rFonts w:ascii="Calibri" w:hAnsi="Calibri"/>
                <w:b/>
                <w:bCs/>
                <w:color w:val="000000"/>
                <w:sz w:val="20"/>
                <w:szCs w:val="20"/>
              </w:rPr>
              <w:t>各院系职业期待吻合度</w:t>
            </w:r>
          </w:p>
        </w:tc>
        <w:tc>
          <w:tcPr>
            <w:tcW w:w="2223" w:type="dxa"/>
            <w:tcBorders>
              <w:top w:val="single" w:sz="8" w:space="0" w:color="FFFFFF"/>
              <w:left w:val="nil"/>
              <w:bottom w:val="nil"/>
              <w:right w:val="single" w:sz="8" w:space="0" w:color="FFFFFF"/>
            </w:tcBorders>
            <w:shd w:val="clear" w:color="000000" w:fill="8DB3E2"/>
            <w:vAlign w:val="center"/>
          </w:tcPr>
          <w:p w:rsidR="00000000" w:rsidRDefault="009A1129">
            <w:pPr>
              <w:spacing w:line="320" w:lineRule="exact"/>
              <w:jc w:val="center"/>
              <w:rPr>
                <w:rFonts w:ascii="Calibri" w:hAnsi="Calibri"/>
                <w:b/>
                <w:bCs/>
                <w:color w:val="000000"/>
                <w:sz w:val="20"/>
                <w:szCs w:val="20"/>
              </w:rPr>
            </w:pPr>
            <w:r>
              <w:rPr>
                <w:rFonts w:ascii="Calibri" w:hAnsi="Calibri"/>
                <w:b/>
                <w:bCs/>
                <w:color w:val="000000"/>
                <w:sz w:val="20"/>
                <w:szCs w:val="20"/>
              </w:rPr>
              <w:t>专业名称</w:t>
            </w:r>
          </w:p>
        </w:tc>
        <w:tc>
          <w:tcPr>
            <w:tcW w:w="2223" w:type="dxa"/>
            <w:tcBorders>
              <w:top w:val="single" w:sz="8" w:space="0" w:color="FFFFFF"/>
              <w:left w:val="nil"/>
              <w:bottom w:val="nil"/>
              <w:right w:val="single" w:sz="8" w:space="0" w:color="FFFFFF"/>
            </w:tcBorders>
            <w:shd w:val="clear" w:color="000000" w:fill="8DB3E2"/>
            <w:vAlign w:val="center"/>
          </w:tcPr>
          <w:p w:rsidR="00000000" w:rsidRDefault="009A1129">
            <w:pPr>
              <w:spacing w:line="320" w:lineRule="exact"/>
              <w:jc w:val="center"/>
              <w:rPr>
                <w:rFonts w:ascii="Calibri" w:hAnsi="Calibri"/>
                <w:b/>
                <w:bCs/>
                <w:color w:val="000000"/>
                <w:sz w:val="20"/>
                <w:szCs w:val="20"/>
              </w:rPr>
            </w:pPr>
            <w:r>
              <w:rPr>
                <w:rFonts w:ascii="Calibri" w:hAnsi="Calibri"/>
                <w:b/>
                <w:bCs/>
                <w:color w:val="000000"/>
                <w:sz w:val="20"/>
                <w:szCs w:val="20"/>
              </w:rPr>
              <w:t>各专业职业期待吻合度</w:t>
            </w:r>
          </w:p>
        </w:tc>
      </w:tr>
      <w:tr w:rsidR="00000000">
        <w:trPr>
          <w:trHeight w:val="285"/>
        </w:trPr>
        <w:tc>
          <w:tcPr>
            <w:tcW w:w="2222" w:type="dxa"/>
            <w:vMerge w:val="restart"/>
            <w:tcBorders>
              <w:top w:val="single" w:sz="8" w:space="0" w:color="FFFFFF"/>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经济与管理学部</w:t>
            </w:r>
          </w:p>
        </w:tc>
        <w:tc>
          <w:tcPr>
            <w:tcW w:w="2222" w:type="dxa"/>
            <w:vMerge w:val="restart"/>
            <w:tcBorders>
              <w:top w:val="single" w:sz="8" w:space="0" w:color="FFFFFF"/>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82.61</w:t>
            </w:r>
          </w:p>
        </w:tc>
        <w:tc>
          <w:tcPr>
            <w:tcW w:w="2223" w:type="dxa"/>
            <w:tcBorders>
              <w:top w:val="single" w:sz="8" w:space="0" w:color="FFFFFF"/>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国际经济与贸易</w:t>
            </w:r>
          </w:p>
        </w:tc>
        <w:tc>
          <w:tcPr>
            <w:tcW w:w="2223" w:type="dxa"/>
            <w:tcBorders>
              <w:top w:val="single" w:sz="8" w:space="0" w:color="FFFFFF"/>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88.46</w:t>
            </w:r>
          </w:p>
        </w:tc>
      </w:tr>
      <w:tr w:rsidR="00000000">
        <w:trPr>
          <w:trHeight w:val="285"/>
        </w:trPr>
        <w:tc>
          <w:tcPr>
            <w:tcW w:w="2222"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市场营销</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86.21</w:t>
            </w:r>
          </w:p>
        </w:tc>
      </w:tr>
      <w:tr w:rsidR="00000000">
        <w:trPr>
          <w:trHeight w:val="285"/>
        </w:trPr>
        <w:tc>
          <w:tcPr>
            <w:tcW w:w="2222"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行政管理</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85.71</w:t>
            </w:r>
          </w:p>
        </w:tc>
      </w:tr>
      <w:tr w:rsidR="00000000">
        <w:trPr>
          <w:trHeight w:val="285"/>
        </w:trPr>
        <w:tc>
          <w:tcPr>
            <w:tcW w:w="2222"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会计学</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81.08</w:t>
            </w:r>
          </w:p>
        </w:tc>
      </w:tr>
      <w:tr w:rsidR="00000000">
        <w:trPr>
          <w:trHeight w:val="285"/>
        </w:trPr>
        <w:tc>
          <w:tcPr>
            <w:tcW w:w="2222"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城市管理</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70.59</w:t>
            </w:r>
          </w:p>
        </w:tc>
      </w:tr>
      <w:tr w:rsidR="00000000">
        <w:trPr>
          <w:trHeight w:val="285"/>
        </w:trPr>
        <w:tc>
          <w:tcPr>
            <w:tcW w:w="2222" w:type="dxa"/>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信息科学部</w:t>
            </w:r>
          </w:p>
        </w:tc>
        <w:tc>
          <w:tcPr>
            <w:tcW w:w="2222"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82.09</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自动化</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77.78</w:t>
            </w:r>
          </w:p>
        </w:tc>
      </w:tr>
      <w:tr w:rsidR="00000000">
        <w:trPr>
          <w:trHeight w:val="285"/>
        </w:trPr>
        <w:tc>
          <w:tcPr>
            <w:tcW w:w="2222"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医学部（五）</w:t>
            </w:r>
          </w:p>
        </w:tc>
        <w:tc>
          <w:tcPr>
            <w:tcW w:w="2222"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80.74</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临床医学（全科医学）</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81.54</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临床医学</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80.52</w:t>
            </w:r>
          </w:p>
        </w:tc>
      </w:tr>
      <w:tr w:rsidR="00000000">
        <w:trPr>
          <w:trHeight w:val="285"/>
        </w:trPr>
        <w:tc>
          <w:tcPr>
            <w:tcW w:w="2222"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医学部</w:t>
            </w:r>
            <w:r>
              <w:rPr>
                <w:rFonts w:ascii="Calibri" w:hAnsi="Calibri"/>
                <w:color w:val="000000"/>
                <w:sz w:val="20"/>
                <w:szCs w:val="20"/>
              </w:rPr>
              <w:t>(</w:t>
            </w:r>
            <w:r>
              <w:rPr>
                <w:rFonts w:ascii="Calibri" w:hAnsi="Calibri"/>
                <w:color w:val="000000"/>
                <w:sz w:val="20"/>
                <w:szCs w:val="20"/>
              </w:rPr>
              <w:t>四）</w:t>
            </w:r>
          </w:p>
        </w:tc>
        <w:tc>
          <w:tcPr>
            <w:tcW w:w="2222"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75.51</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护理学</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78.18</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医学影像技术</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78.13</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医学检验技术</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67.44</w:t>
            </w:r>
          </w:p>
        </w:tc>
      </w:tr>
      <w:tr w:rsidR="00000000">
        <w:trPr>
          <w:trHeight w:val="285"/>
        </w:trPr>
        <w:tc>
          <w:tcPr>
            <w:tcW w:w="2222"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人文学部</w:t>
            </w:r>
          </w:p>
        </w:tc>
        <w:tc>
          <w:tcPr>
            <w:tcW w:w="2222"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70.83</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动画</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82.35</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环境设计</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75.00</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视觉传达设计</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73.68</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英语</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68.97</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日语</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67.86</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汉语言文学</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61.54</w:t>
            </w:r>
          </w:p>
        </w:tc>
      </w:tr>
      <w:tr w:rsidR="00000000">
        <w:trPr>
          <w:trHeight w:val="285"/>
        </w:trPr>
        <w:tc>
          <w:tcPr>
            <w:tcW w:w="2222"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理学部</w:t>
            </w:r>
          </w:p>
        </w:tc>
        <w:tc>
          <w:tcPr>
            <w:tcW w:w="2222"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69.32</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应用心理学</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79.17</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应用统计学</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64.52</w:t>
            </w:r>
          </w:p>
        </w:tc>
      </w:tr>
      <w:tr w:rsidR="00000000">
        <w:trPr>
          <w:trHeight w:val="285"/>
        </w:trPr>
        <w:tc>
          <w:tcPr>
            <w:tcW w:w="2222"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工程学部</w:t>
            </w:r>
          </w:p>
        </w:tc>
        <w:tc>
          <w:tcPr>
            <w:tcW w:w="2222"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67.63</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土木工程</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70.73</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工程管理</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68.97</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服装与服饰设计</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68.89</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化学工程与工艺</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68.42</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纺织工程</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66.67</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机械工程</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65.63</w:t>
            </w:r>
          </w:p>
        </w:tc>
      </w:tr>
      <w:tr w:rsidR="00000000">
        <w:trPr>
          <w:trHeight w:val="285"/>
        </w:trPr>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2"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服装设计与工程</w:t>
            </w:r>
          </w:p>
        </w:tc>
        <w:tc>
          <w:tcPr>
            <w:tcW w:w="222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65</w:t>
            </w:r>
            <w:r>
              <w:rPr>
                <w:rFonts w:ascii="Calibri" w:hAnsi="Calibri"/>
                <w:color w:val="000000"/>
                <w:sz w:val="20"/>
                <w:szCs w:val="20"/>
              </w:rPr>
              <w:t>.52</w:t>
            </w:r>
          </w:p>
        </w:tc>
      </w:tr>
      <w:tr w:rsidR="00000000">
        <w:trPr>
          <w:trHeight w:val="285"/>
        </w:trPr>
        <w:tc>
          <w:tcPr>
            <w:tcW w:w="2222" w:type="dxa"/>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b/>
                <w:bCs/>
                <w:color w:val="000000"/>
                <w:sz w:val="20"/>
                <w:szCs w:val="20"/>
              </w:rPr>
            </w:pPr>
            <w:r>
              <w:rPr>
                <w:rFonts w:ascii="Calibri" w:hAnsi="Calibri"/>
                <w:b/>
                <w:bCs/>
                <w:color w:val="000000"/>
                <w:sz w:val="20"/>
                <w:szCs w:val="20"/>
              </w:rPr>
              <w:t>本校本科平均</w:t>
            </w:r>
          </w:p>
        </w:tc>
        <w:tc>
          <w:tcPr>
            <w:tcW w:w="2222"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b/>
                <w:bCs/>
                <w:color w:val="000000"/>
                <w:sz w:val="20"/>
                <w:szCs w:val="20"/>
              </w:rPr>
            </w:pPr>
            <w:r>
              <w:rPr>
                <w:rFonts w:ascii="Calibri" w:hAnsi="Calibri"/>
                <w:b/>
                <w:bCs/>
                <w:color w:val="000000"/>
                <w:sz w:val="20"/>
                <w:szCs w:val="20"/>
              </w:rPr>
              <w:t>75.38</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b/>
                <w:bCs/>
                <w:color w:val="000000"/>
                <w:sz w:val="20"/>
                <w:szCs w:val="20"/>
              </w:rPr>
            </w:pPr>
            <w:r>
              <w:rPr>
                <w:rFonts w:ascii="Calibri" w:hAnsi="Calibri"/>
                <w:b/>
                <w:bCs/>
                <w:color w:val="000000"/>
                <w:sz w:val="20"/>
                <w:szCs w:val="20"/>
              </w:rPr>
              <w:t>本校本科平均</w:t>
            </w:r>
          </w:p>
        </w:tc>
        <w:tc>
          <w:tcPr>
            <w:tcW w:w="2223"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b/>
                <w:bCs/>
                <w:color w:val="000000"/>
                <w:sz w:val="20"/>
                <w:szCs w:val="20"/>
              </w:rPr>
            </w:pPr>
            <w:r>
              <w:rPr>
                <w:rFonts w:ascii="Calibri" w:hAnsi="Calibri"/>
                <w:b/>
                <w:bCs/>
                <w:color w:val="000000"/>
                <w:sz w:val="20"/>
                <w:szCs w:val="20"/>
              </w:rPr>
              <w:t>75.38</w:t>
            </w:r>
          </w:p>
        </w:tc>
      </w:tr>
    </w:tbl>
    <w:p w:rsidR="00000000" w:rsidRDefault="009A1129">
      <w:pPr>
        <w:spacing w:line="480" w:lineRule="auto"/>
        <w:jc w:val="left"/>
        <w:rPr>
          <w:rFonts w:ascii="楷体_GB2312" w:eastAsia="楷体_GB2312" w:hAnsi="楷体_GB2312" w:cs="楷体_GB2312" w:hint="eastAsia"/>
          <w:b/>
          <w:bCs/>
          <w:sz w:val="32"/>
          <w:szCs w:val="32"/>
        </w:rPr>
      </w:pPr>
    </w:p>
    <w:p w:rsidR="00000000" w:rsidRDefault="009A1129">
      <w:pPr>
        <w:spacing w:line="480" w:lineRule="auto"/>
        <w:jc w:val="left"/>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lastRenderedPageBreak/>
        <w:t>二、用人单位对毕业生的评价</w:t>
      </w:r>
    </w:p>
    <w:p w:rsidR="00000000" w:rsidRDefault="009A1129">
      <w:p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（一）用人单位对我院毕业生的总体满意度</w:t>
      </w:r>
    </w:p>
    <w:p w:rsidR="00000000" w:rsidRDefault="009A1129">
      <w:pPr>
        <w:spacing w:line="480" w:lineRule="auto"/>
        <w:ind w:firstLineChars="200" w:firstLine="5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调查发现，</w:t>
      </w:r>
      <w:r>
        <w:rPr>
          <w:rFonts w:ascii="楷体_GB2312" w:eastAsia="楷体_GB2312" w:hAnsi="楷体_GB2312" w:cs="楷体_GB2312" w:hint="eastAsia"/>
          <w:sz w:val="28"/>
          <w:szCs w:val="28"/>
        </w:rPr>
        <w:t>2017</w:t>
      </w:r>
      <w:r>
        <w:rPr>
          <w:rFonts w:ascii="楷体_GB2312" w:eastAsia="楷体_GB2312" w:hAnsi="楷体_GB2312" w:cs="楷体_GB2312" w:hint="eastAsia"/>
          <w:sz w:val="28"/>
          <w:szCs w:val="28"/>
        </w:rPr>
        <w:t>年用人单位对</w:t>
      </w: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毕业生的总体满意度为</w:t>
      </w:r>
      <w:r>
        <w:rPr>
          <w:rFonts w:ascii="楷体_GB2312" w:eastAsia="楷体_GB2312" w:hAnsi="楷体_GB2312" w:cs="楷体_GB2312" w:hint="eastAsia"/>
          <w:sz w:val="28"/>
          <w:szCs w:val="28"/>
        </w:rPr>
        <w:t>90.00%</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可见我院毕业生得到用人单位的充分认可。</w:t>
      </w:r>
    </w:p>
    <w:p w:rsidR="00000000" w:rsidRDefault="009A1129">
      <w:pPr>
        <w:spacing w:line="480" w:lineRule="auto"/>
        <w:ind w:firstLineChars="200" w:firstLine="560"/>
        <w:rPr>
          <w:rFonts w:ascii="楷体_GB2312" w:eastAsia="楷体_GB2312" w:hAnsi="楷体_GB2312" w:cs="楷体_GB2312" w:hint="eastAsia"/>
          <w:sz w:val="28"/>
          <w:szCs w:val="28"/>
        </w:rPr>
      </w:pPr>
    </w:p>
    <w:p w:rsidR="00000000" w:rsidRDefault="009A1129">
      <w:pPr>
        <w:numPr>
          <w:ilvl w:val="0"/>
          <w:numId w:val="6"/>
        </w:numPr>
        <w:spacing w:line="480" w:lineRule="auto"/>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用人单位对我院毕业生</w:t>
      </w:r>
      <w:r>
        <w:rPr>
          <w:rFonts w:ascii="楷体_GB2312" w:eastAsia="楷体_GB2312" w:hAnsi="楷体_GB2312" w:cs="楷体_GB2312" w:hint="eastAsia"/>
          <w:b/>
          <w:sz w:val="32"/>
          <w:szCs w:val="32"/>
        </w:rPr>
        <w:t>知识</w:t>
      </w:r>
      <w:r>
        <w:rPr>
          <w:rFonts w:ascii="楷体_GB2312" w:eastAsia="楷体_GB2312" w:hAnsi="楷体_GB2312" w:cs="楷体_GB2312" w:hint="eastAsia"/>
          <w:b/>
          <w:sz w:val="32"/>
          <w:szCs w:val="32"/>
        </w:rPr>
        <w:t>的</w:t>
      </w:r>
      <w:r>
        <w:rPr>
          <w:rFonts w:ascii="楷体_GB2312" w:eastAsia="楷体_GB2312" w:hAnsi="楷体_GB2312" w:cs="楷体_GB2312" w:hint="eastAsia"/>
          <w:b/>
          <w:sz w:val="32"/>
          <w:szCs w:val="32"/>
        </w:rPr>
        <w:t>满意度</w:t>
      </w:r>
    </w:p>
    <w:p w:rsidR="00000000" w:rsidRDefault="009A1129">
      <w:pPr>
        <w:pStyle w:val="aa"/>
        <w:rPr>
          <w:rFonts w:ascii="楷体_GB2312" w:eastAsia="楷体_GB2312" w:hAnsi="楷体_GB2312" w:cs="楷体_GB2312" w:hint="eastAsia"/>
          <w:sz w:val="28"/>
          <w:szCs w:val="28"/>
        </w:rPr>
      </w:pPr>
      <w:r>
        <w:rPr>
          <w:rFonts w:ascii="楷体_GB2312" w:eastAsia="楷体_GB2312" w:hAnsi="楷体_GB2312" w:cs="楷体_GB2312" w:hint="eastAsia"/>
          <w:bCs/>
          <w:sz w:val="32"/>
          <w:szCs w:val="32"/>
        </w:rPr>
        <w:t xml:space="preserve"> </w:t>
      </w:r>
      <w:r>
        <w:rPr>
          <w:rFonts w:ascii="楷体_GB2312" w:eastAsia="楷体_GB2312" w:hAnsi="楷体_GB2312" w:cs="楷体_GB2312" w:hint="eastAsia"/>
          <w:bCs/>
          <w:sz w:val="32"/>
          <w:szCs w:val="32"/>
        </w:rPr>
        <w:t xml:space="preserve">  </w:t>
      </w:r>
      <w:r>
        <w:rPr>
          <w:rFonts w:ascii="楷体_GB2312" w:eastAsia="楷体_GB2312" w:hAnsi="楷体_GB2312" w:cs="楷体_GB2312" w:hint="eastAsia"/>
          <w:sz w:val="28"/>
          <w:szCs w:val="28"/>
        </w:rPr>
        <w:t>2017</w:t>
      </w:r>
      <w:r>
        <w:rPr>
          <w:rFonts w:ascii="楷体_GB2312" w:eastAsia="楷体_GB2312" w:hAnsi="楷体_GB2312" w:cs="楷体_GB2312" w:hint="eastAsia"/>
          <w:sz w:val="28"/>
          <w:szCs w:val="28"/>
        </w:rPr>
        <w:t>年用人单位对</w:t>
      </w:r>
      <w:r>
        <w:rPr>
          <w:rFonts w:ascii="楷体_GB2312" w:eastAsia="楷体_GB2312" w:hAnsi="楷体_GB2312" w:cs="楷体_GB2312" w:hint="eastAsia"/>
          <w:sz w:val="28"/>
          <w:szCs w:val="28"/>
        </w:rPr>
        <w:t>我院</w:t>
      </w:r>
      <w:r>
        <w:rPr>
          <w:rFonts w:ascii="楷体_GB2312" w:eastAsia="楷体_GB2312" w:hAnsi="楷体_GB2312" w:cs="楷体_GB2312" w:hint="eastAsia"/>
          <w:sz w:val="28"/>
          <w:szCs w:val="28"/>
        </w:rPr>
        <w:t>毕业生知识满意度较高的是现代科技基础知识（</w:t>
      </w:r>
      <w:r>
        <w:rPr>
          <w:rFonts w:ascii="楷体_GB2312" w:eastAsia="楷体_GB2312" w:hAnsi="楷体_GB2312" w:cs="楷体_GB2312" w:hint="eastAsia"/>
          <w:sz w:val="28"/>
          <w:szCs w:val="28"/>
        </w:rPr>
        <w:t>93.75%</w:t>
      </w:r>
      <w:r>
        <w:rPr>
          <w:rFonts w:ascii="楷体_GB2312" w:eastAsia="楷体_GB2312" w:hAnsi="楷体_GB2312" w:cs="楷体_GB2312" w:hint="eastAsia"/>
          <w:sz w:val="28"/>
          <w:szCs w:val="28"/>
        </w:rPr>
        <w:t>），其次是社会人文知识（</w:t>
      </w:r>
      <w:r>
        <w:rPr>
          <w:rFonts w:ascii="楷体_GB2312" w:eastAsia="楷体_GB2312" w:hAnsi="楷体_GB2312" w:cs="楷体_GB2312" w:hint="eastAsia"/>
          <w:sz w:val="28"/>
          <w:szCs w:val="28"/>
        </w:rPr>
        <w:t>91.67%</w:t>
      </w:r>
      <w:r>
        <w:rPr>
          <w:rFonts w:ascii="楷体_GB2312" w:eastAsia="楷体_GB2312" w:hAnsi="楷体_GB2312" w:cs="楷体_GB2312" w:hint="eastAsia"/>
          <w:sz w:val="28"/>
          <w:szCs w:val="28"/>
        </w:rPr>
        <w:t>）、专业前沿知识</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89.58%</w:t>
      </w:r>
      <w:r>
        <w:rPr>
          <w:rFonts w:ascii="楷体_GB2312" w:eastAsia="楷体_GB2312" w:hAnsi="楷体_GB2312" w:cs="楷体_GB2312" w:hint="eastAsia"/>
          <w:sz w:val="28"/>
          <w:szCs w:val="28"/>
        </w:rPr>
        <w:t>）和专业基础知识（</w:t>
      </w:r>
      <w:r>
        <w:rPr>
          <w:rFonts w:ascii="楷体_GB2312" w:eastAsia="楷体_GB2312" w:hAnsi="楷体_GB2312" w:cs="楷体_GB2312" w:hint="eastAsia"/>
          <w:sz w:val="28"/>
          <w:szCs w:val="28"/>
        </w:rPr>
        <w:t>85.42%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3-3</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bookmarkStart w:id="3" w:name="_1574777690"/>
    <w:bookmarkEnd w:id="3"/>
    <w:p w:rsidR="00000000" w:rsidRDefault="009A1129">
      <w:pPr>
        <w:spacing w:line="480" w:lineRule="auto"/>
        <w:jc w:val="center"/>
        <w:rPr>
          <w:rFonts w:ascii="楷体_GB2312" w:eastAsia="楷体_GB2312" w:hAnsi="楷体_GB2312" w:cs="楷体_GB2312" w:hint="eastAsia"/>
          <w:b/>
          <w:bCs/>
          <w:sz w:val="28"/>
          <w:szCs w:val="28"/>
        </w:rPr>
      </w:pPr>
      <w:r>
        <w:rPr>
          <w:rFonts w:ascii="Calibri" w:hAnsi="Calibri" w:cs="黑体"/>
          <w:b/>
          <w:szCs w:val="21"/>
        </w:rPr>
        <w:object w:dxaOrig="8205" w:dyaOrig="35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30" o:spid="_x0000_i1025" type="#_x0000_t75" style="width:410.25pt;height:179.25pt;mso-wrap-style:square;mso-position-horizontal-relative:page;mso-position-vertical-relative:page" o:ole="">
            <v:fill o:detectmouseclick="t"/>
            <v:imagedata r:id="rId22" o:title=""/>
          </v:shape>
          <o:OLEObject Type="Embed" ProgID="Excel.Sheet.12" ShapeID="对象 30" DrawAspect="Content" ObjectID="_1598980129" r:id="rId23"/>
        </w:object>
      </w: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3-</w:t>
      </w:r>
      <w:r>
        <w:rPr>
          <w:rFonts w:ascii="楷体_GB2312" w:eastAsia="楷体_GB2312" w:hAnsi="楷体_GB2312" w:cs="楷体_GB2312" w:hint="eastAsia"/>
          <w:b/>
          <w:bCs/>
          <w:sz w:val="28"/>
          <w:szCs w:val="28"/>
        </w:rPr>
        <w:t>3</w:t>
      </w:r>
      <w:r>
        <w:rPr>
          <w:rFonts w:ascii="楷体_GB2312" w:eastAsia="楷体_GB2312" w:hAnsi="楷体_GB2312" w:cs="楷体_GB2312" w:hint="eastAsia"/>
          <w:b/>
          <w:bCs/>
          <w:sz w:val="28"/>
          <w:szCs w:val="28"/>
        </w:rPr>
        <w:t xml:space="preserve"> </w:t>
      </w:r>
      <w:r>
        <w:rPr>
          <w:rFonts w:ascii="楷体_GB2312" w:eastAsia="楷体_GB2312" w:hAnsi="楷体_GB2312" w:cs="楷体_GB2312" w:hint="eastAsia"/>
          <w:b/>
          <w:bCs/>
          <w:sz w:val="28"/>
          <w:szCs w:val="28"/>
        </w:rPr>
        <w:t>用人单位对我院毕业生知识的满意度</w:t>
      </w:r>
    </w:p>
    <w:p w:rsidR="00000000" w:rsidRDefault="009A1129">
      <w:pPr>
        <w:spacing w:line="480" w:lineRule="auto"/>
        <w:rPr>
          <w:rFonts w:ascii="楷体_GB2312" w:eastAsia="楷体_GB2312" w:hAnsi="楷体_GB2312" w:cs="楷体_GB2312" w:hint="eastAsia"/>
          <w:b/>
          <w:bCs/>
          <w:sz w:val="28"/>
          <w:szCs w:val="28"/>
        </w:rPr>
      </w:pPr>
    </w:p>
    <w:p w:rsidR="00000000" w:rsidRDefault="009A1129">
      <w:pPr>
        <w:spacing w:line="480" w:lineRule="auto"/>
        <w:rPr>
          <w:rFonts w:ascii="楷体_GB2312" w:eastAsia="楷体_GB2312" w:hAnsi="楷体_GB2312" w:cs="楷体_GB2312"/>
          <w:b/>
          <w:sz w:val="32"/>
          <w:szCs w:val="32"/>
        </w:rPr>
      </w:pPr>
      <w:r>
        <w:rPr>
          <w:rFonts w:ascii="楷体_GB2312" w:eastAsia="楷体_GB2312" w:hAnsi="楷体_GB2312" w:cs="楷体_GB2312" w:hint="eastAsia"/>
          <w:b/>
          <w:sz w:val="32"/>
          <w:szCs w:val="32"/>
        </w:rPr>
        <w:t>（三）用人单位对毕业生职业能力的</w:t>
      </w:r>
      <w:r>
        <w:rPr>
          <w:rFonts w:ascii="楷体_GB2312" w:eastAsia="楷体_GB2312" w:hAnsi="楷体_GB2312" w:cs="楷体_GB2312" w:hint="eastAsia"/>
          <w:b/>
          <w:sz w:val="32"/>
          <w:szCs w:val="32"/>
        </w:rPr>
        <w:t>满意度</w:t>
      </w:r>
    </w:p>
    <w:p w:rsidR="00000000" w:rsidRDefault="009A1129">
      <w:pPr>
        <w:ind w:firstLineChars="200" w:firstLine="5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2017</w:t>
      </w:r>
      <w:r>
        <w:rPr>
          <w:rFonts w:ascii="楷体_GB2312" w:eastAsia="楷体_GB2312" w:hAnsi="楷体_GB2312" w:cs="楷体_GB2312" w:hint="eastAsia"/>
          <w:sz w:val="28"/>
          <w:szCs w:val="28"/>
        </w:rPr>
        <w:t>年</w:t>
      </w:r>
      <w:r>
        <w:rPr>
          <w:rFonts w:ascii="楷体_GB2312" w:eastAsia="楷体_GB2312" w:hAnsi="楷体_GB2312" w:cs="楷体_GB2312" w:hint="eastAsia"/>
          <w:sz w:val="28"/>
          <w:szCs w:val="28"/>
        </w:rPr>
        <w:t>用人单位对于我院毕业生职业相关能力的认可度由高到低依次为：应用分析能力（</w:t>
      </w:r>
      <w:r>
        <w:rPr>
          <w:rFonts w:ascii="楷体_GB2312" w:eastAsia="楷体_GB2312" w:hAnsi="楷体_GB2312" w:cs="楷体_GB2312" w:hint="eastAsia"/>
          <w:sz w:val="28"/>
          <w:szCs w:val="28"/>
        </w:rPr>
        <w:t>91.67%</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沟通交流能力</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89.58%</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、管理能力</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89.58%</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、动手操作能力（</w:t>
      </w:r>
      <w:r>
        <w:rPr>
          <w:rFonts w:ascii="楷体_GB2312" w:eastAsia="楷体_GB2312" w:hAnsi="楷体_GB2312" w:cs="楷体_GB2312" w:hint="eastAsia"/>
          <w:sz w:val="28"/>
          <w:szCs w:val="28"/>
        </w:rPr>
        <w:t>89.58%</w:t>
      </w:r>
      <w:r>
        <w:rPr>
          <w:rFonts w:ascii="楷体_GB2312" w:eastAsia="楷体_GB2312" w:hAnsi="楷体_GB2312" w:cs="楷体_GB2312" w:hint="eastAsia"/>
          <w:sz w:val="28"/>
          <w:szCs w:val="28"/>
        </w:rPr>
        <w:t>）、科学思维能力（</w:t>
      </w:r>
      <w:r>
        <w:rPr>
          <w:rFonts w:ascii="楷体_GB2312" w:eastAsia="楷体_GB2312" w:hAnsi="楷体_GB2312" w:cs="楷体_GB2312" w:hint="eastAsia"/>
          <w:sz w:val="28"/>
          <w:szCs w:val="28"/>
        </w:rPr>
        <w:t>87.50%</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、创新能力（</w:t>
      </w:r>
      <w:r>
        <w:rPr>
          <w:rFonts w:ascii="楷体_GB2312" w:eastAsia="楷体_GB2312" w:hAnsi="楷体_GB2312" w:cs="楷体_GB2312" w:hint="eastAsia"/>
          <w:sz w:val="28"/>
          <w:szCs w:val="28"/>
        </w:rPr>
        <w:t>85.42%</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3-4</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bookmarkStart w:id="4" w:name="_1574777694"/>
    <w:bookmarkEnd w:id="4"/>
    <w:p w:rsidR="00000000" w:rsidRDefault="009A1129">
      <w:pPr>
        <w:ind w:firstLineChars="200" w:firstLine="422"/>
        <w:jc w:val="center"/>
        <w:rPr>
          <w:rFonts w:ascii="Calibri" w:hAnsi="Calibri" w:cs="黑体"/>
          <w:b/>
          <w:szCs w:val="21"/>
        </w:rPr>
      </w:pPr>
      <w:r>
        <w:rPr>
          <w:rFonts w:ascii="Calibri" w:hAnsi="Calibri" w:cs="黑体"/>
          <w:b/>
          <w:szCs w:val="21"/>
        </w:rPr>
        <w:object w:dxaOrig="7309" w:dyaOrig="2909">
          <v:shape id="对象 37" o:spid="_x0000_i1026" type="#_x0000_t75" style="width:365.25pt;height:145.5pt;mso-wrap-style:square;mso-position-horizontal-relative:page;mso-position-vertical-relative:page" o:ole="">
            <v:fill o:detectmouseclick="t"/>
            <v:imagedata r:id="rId24" o:title=""/>
          </v:shape>
          <o:OLEObject Type="Embed" ProgID="Excel.Sheet.12" ShapeID="对象 37" DrawAspect="Content" ObjectID="_1598980130" r:id="rId25"/>
        </w:object>
      </w:r>
    </w:p>
    <w:p w:rsidR="00000000" w:rsidRDefault="009A1129">
      <w:pPr>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3-4  </w:t>
      </w:r>
      <w:r>
        <w:rPr>
          <w:rFonts w:ascii="楷体_GB2312" w:eastAsia="楷体_GB2312" w:hAnsi="楷体_GB2312" w:cs="楷体_GB2312" w:hint="eastAsia"/>
          <w:b/>
          <w:bCs/>
          <w:sz w:val="28"/>
          <w:szCs w:val="28"/>
        </w:rPr>
        <w:t>用人单位对我院毕业生职业能力的</w:t>
      </w:r>
      <w:r>
        <w:rPr>
          <w:rFonts w:ascii="楷体_GB2312" w:eastAsia="楷体_GB2312" w:hAnsi="楷体_GB2312" w:cs="楷体_GB2312" w:hint="eastAsia"/>
          <w:b/>
          <w:bCs/>
          <w:sz w:val="28"/>
          <w:szCs w:val="28"/>
        </w:rPr>
        <w:t>满意度</w:t>
      </w:r>
    </w:p>
    <w:p w:rsidR="00000000" w:rsidRDefault="009A1129">
      <w:pPr>
        <w:ind w:firstLineChars="200" w:firstLine="562"/>
        <w:jc w:val="center"/>
        <w:rPr>
          <w:rFonts w:ascii="楷体_GB2312" w:eastAsia="楷体_GB2312" w:hAnsi="楷体_GB2312" w:cs="楷体_GB2312" w:hint="eastAsia"/>
          <w:b/>
          <w:bCs/>
          <w:sz w:val="28"/>
          <w:szCs w:val="28"/>
        </w:rPr>
      </w:pPr>
    </w:p>
    <w:p w:rsidR="00000000" w:rsidRDefault="009A1129">
      <w:pPr>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（四）</w:t>
      </w:r>
      <w:r>
        <w:rPr>
          <w:rFonts w:ascii="楷体_GB2312" w:eastAsia="楷体_GB2312" w:hAnsi="楷体_GB2312" w:cs="楷体_GB2312" w:hint="eastAsia"/>
          <w:b/>
          <w:sz w:val="32"/>
          <w:szCs w:val="32"/>
        </w:rPr>
        <w:t>用人单位对毕业生职业</w:t>
      </w:r>
      <w:r>
        <w:rPr>
          <w:rFonts w:ascii="楷体_GB2312" w:eastAsia="楷体_GB2312" w:hAnsi="楷体_GB2312" w:cs="楷体_GB2312" w:hint="eastAsia"/>
          <w:b/>
          <w:sz w:val="32"/>
          <w:szCs w:val="32"/>
        </w:rPr>
        <w:t>素养</w:t>
      </w:r>
      <w:r>
        <w:rPr>
          <w:rFonts w:ascii="楷体_GB2312" w:eastAsia="楷体_GB2312" w:hAnsi="楷体_GB2312" w:cs="楷体_GB2312" w:hint="eastAsia"/>
          <w:b/>
          <w:sz w:val="32"/>
          <w:szCs w:val="32"/>
        </w:rPr>
        <w:t>的</w:t>
      </w:r>
      <w:r>
        <w:rPr>
          <w:rFonts w:ascii="楷体_GB2312" w:eastAsia="楷体_GB2312" w:hAnsi="楷体_GB2312" w:cs="楷体_GB2312" w:hint="eastAsia"/>
          <w:b/>
          <w:sz w:val="32"/>
          <w:szCs w:val="32"/>
        </w:rPr>
        <w:t>满意度</w:t>
      </w:r>
    </w:p>
    <w:p w:rsidR="00000000" w:rsidRDefault="009A1129">
      <w:pPr>
        <w:ind w:firstLineChars="200" w:firstLine="560"/>
        <w:rPr>
          <w:rFonts w:ascii="楷体_GB2312" w:eastAsia="楷体_GB2312" w:hAnsi="楷体_GB2312" w:cs="楷体_GB2312" w:hint="eastAsia"/>
          <w:sz w:val="28"/>
          <w:szCs w:val="28"/>
        </w:rPr>
      </w:pPr>
      <w:r>
        <w:rPr>
          <w:rFonts w:ascii="楷体_GB2312" w:eastAsia="楷体_GB2312" w:hAnsi="楷体_GB2312" w:cs="楷体_GB2312" w:hint="eastAsia"/>
          <w:sz w:val="28"/>
          <w:szCs w:val="28"/>
        </w:rPr>
        <w:t>2017</w:t>
      </w:r>
      <w:r>
        <w:rPr>
          <w:rFonts w:ascii="楷体_GB2312" w:eastAsia="楷体_GB2312" w:hAnsi="楷体_GB2312" w:cs="楷体_GB2312" w:hint="eastAsia"/>
          <w:sz w:val="28"/>
          <w:szCs w:val="28"/>
        </w:rPr>
        <w:t>年用人单位</w:t>
      </w:r>
      <w:r>
        <w:rPr>
          <w:rFonts w:ascii="楷体_GB2312" w:eastAsia="楷体_GB2312" w:hAnsi="楷体_GB2312" w:cs="楷体_GB2312" w:hint="eastAsia"/>
          <w:sz w:val="28"/>
          <w:szCs w:val="28"/>
        </w:rPr>
        <w:t>对我院</w:t>
      </w:r>
      <w:r>
        <w:rPr>
          <w:rFonts w:ascii="楷体_GB2312" w:eastAsia="楷体_GB2312" w:hAnsi="楷体_GB2312" w:cs="楷体_GB2312" w:hint="eastAsia"/>
          <w:sz w:val="28"/>
          <w:szCs w:val="28"/>
        </w:rPr>
        <w:t>毕业生职业素养满意度较高的是个人品质、做事方式、自我管理、情感与价值观（均为</w:t>
      </w:r>
      <w:r>
        <w:rPr>
          <w:rFonts w:ascii="楷体_GB2312" w:eastAsia="楷体_GB2312" w:hAnsi="楷体_GB2312" w:cs="楷体_GB2312" w:hint="eastAsia"/>
          <w:sz w:val="28"/>
          <w:szCs w:val="28"/>
        </w:rPr>
        <w:t>91.67%</w:t>
      </w:r>
      <w:r>
        <w:rPr>
          <w:rFonts w:ascii="楷体_GB2312" w:eastAsia="楷体_GB2312" w:hAnsi="楷体_GB2312" w:cs="楷体_GB2312" w:hint="eastAsia"/>
          <w:sz w:val="28"/>
          <w:szCs w:val="28"/>
        </w:rPr>
        <w:t>），其次是适应环境（</w:t>
      </w:r>
      <w:r>
        <w:rPr>
          <w:rFonts w:ascii="楷体_GB2312" w:eastAsia="楷体_GB2312" w:hAnsi="楷体_GB2312" w:cs="楷体_GB2312" w:hint="eastAsia"/>
          <w:sz w:val="28"/>
          <w:szCs w:val="28"/>
        </w:rPr>
        <w:t>83.33%</w:t>
      </w:r>
      <w:r>
        <w:rPr>
          <w:rFonts w:ascii="楷体_GB2312" w:eastAsia="楷体_GB2312" w:hAnsi="楷体_GB2312" w:cs="楷体_GB2312" w:hint="eastAsia"/>
          <w:sz w:val="28"/>
          <w:szCs w:val="28"/>
        </w:rPr>
        <w:t>）、工作态度（</w:t>
      </w:r>
      <w:r>
        <w:rPr>
          <w:rFonts w:ascii="楷体_GB2312" w:eastAsia="楷体_GB2312" w:hAnsi="楷体_GB2312" w:cs="楷体_GB2312" w:hint="eastAsia"/>
          <w:sz w:val="28"/>
          <w:szCs w:val="28"/>
        </w:rPr>
        <w:t>79.17%</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（见图</w:t>
      </w:r>
      <w:r>
        <w:rPr>
          <w:rFonts w:ascii="楷体_GB2312" w:eastAsia="楷体_GB2312" w:hAnsi="楷体_GB2312" w:cs="楷体_GB2312" w:hint="eastAsia"/>
          <w:sz w:val="28"/>
          <w:szCs w:val="28"/>
        </w:rPr>
        <w:t>3-5</w:t>
      </w:r>
      <w:r>
        <w:rPr>
          <w:rFonts w:ascii="楷体_GB2312" w:eastAsia="楷体_GB2312" w:hAnsi="楷体_GB2312" w:cs="楷体_GB2312" w:hint="eastAsia"/>
          <w:sz w:val="28"/>
          <w:szCs w:val="28"/>
        </w:rPr>
        <w:t>）</w:t>
      </w:r>
      <w:r>
        <w:rPr>
          <w:rFonts w:ascii="楷体_GB2312" w:eastAsia="楷体_GB2312" w:hAnsi="楷体_GB2312" w:cs="楷体_GB2312" w:hint="eastAsia"/>
          <w:sz w:val="28"/>
          <w:szCs w:val="28"/>
        </w:rPr>
        <w:t>。</w:t>
      </w:r>
    </w:p>
    <w:bookmarkStart w:id="5" w:name="_1574777692"/>
    <w:bookmarkEnd w:id="5"/>
    <w:p w:rsidR="00000000" w:rsidRDefault="009A1129">
      <w:pPr>
        <w:rPr>
          <w:rFonts w:ascii="Calibri" w:hAnsi="Calibri" w:cs="黑体"/>
          <w:b/>
          <w:szCs w:val="21"/>
        </w:rPr>
      </w:pPr>
      <w:r>
        <w:rPr>
          <w:rFonts w:ascii="Calibri" w:hAnsi="Calibri" w:cs="黑体"/>
          <w:b/>
          <w:szCs w:val="21"/>
        </w:rPr>
        <w:object w:dxaOrig="8205" w:dyaOrig="3033">
          <v:shape id="对象 33" o:spid="_x0000_i1027" type="#_x0000_t75" style="width:410.25pt;height:151.5pt;mso-wrap-style:square;mso-position-horizontal-relative:page;mso-position-vertical-relative:page" o:ole="">
            <v:fill o:detectmouseclick="t"/>
            <v:imagedata r:id="rId26" o:title=""/>
          </v:shape>
          <o:OLEObject Type="Embed" ProgID="Excel.Sheet.12" ShapeID="对象 33" DrawAspect="Content" ObjectID="_1598980131" r:id="rId27"/>
        </w:object>
      </w:r>
    </w:p>
    <w:p w:rsidR="00000000" w:rsidRDefault="009A1129">
      <w:pPr>
        <w:ind w:firstLineChars="200" w:firstLine="562"/>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3-</w:t>
      </w:r>
      <w:r>
        <w:rPr>
          <w:rFonts w:ascii="楷体_GB2312" w:eastAsia="楷体_GB2312" w:hAnsi="楷体_GB2312" w:cs="楷体_GB2312" w:hint="eastAsia"/>
          <w:b/>
          <w:bCs/>
          <w:sz w:val="28"/>
          <w:szCs w:val="28"/>
        </w:rPr>
        <w:t>5</w:t>
      </w:r>
      <w:r>
        <w:rPr>
          <w:rFonts w:ascii="楷体_GB2312" w:eastAsia="楷体_GB2312" w:hAnsi="楷体_GB2312" w:cs="楷体_GB2312" w:hint="eastAsia"/>
          <w:b/>
          <w:bCs/>
          <w:sz w:val="28"/>
          <w:szCs w:val="28"/>
        </w:rPr>
        <w:t xml:space="preserve">  </w:t>
      </w:r>
      <w:r>
        <w:rPr>
          <w:rFonts w:ascii="楷体_GB2312" w:eastAsia="楷体_GB2312" w:hAnsi="楷体_GB2312" w:cs="楷体_GB2312" w:hint="eastAsia"/>
          <w:b/>
          <w:bCs/>
          <w:sz w:val="28"/>
          <w:szCs w:val="28"/>
        </w:rPr>
        <w:t>用人单位对我院毕业生职业</w:t>
      </w:r>
      <w:r>
        <w:rPr>
          <w:rFonts w:ascii="楷体_GB2312" w:eastAsia="楷体_GB2312" w:hAnsi="楷体_GB2312" w:cs="楷体_GB2312" w:hint="eastAsia"/>
          <w:b/>
          <w:bCs/>
          <w:sz w:val="28"/>
          <w:szCs w:val="28"/>
        </w:rPr>
        <w:t>素养</w:t>
      </w:r>
      <w:r>
        <w:rPr>
          <w:rFonts w:ascii="楷体_GB2312" w:eastAsia="楷体_GB2312" w:hAnsi="楷体_GB2312" w:cs="楷体_GB2312" w:hint="eastAsia"/>
          <w:b/>
          <w:bCs/>
          <w:sz w:val="28"/>
          <w:szCs w:val="28"/>
        </w:rPr>
        <w:t>的</w:t>
      </w:r>
      <w:r>
        <w:rPr>
          <w:rFonts w:ascii="楷体_GB2312" w:eastAsia="楷体_GB2312" w:hAnsi="楷体_GB2312" w:cs="楷体_GB2312" w:hint="eastAsia"/>
          <w:b/>
          <w:bCs/>
          <w:sz w:val="28"/>
          <w:szCs w:val="28"/>
        </w:rPr>
        <w:t>满意度</w:t>
      </w:r>
    </w:p>
    <w:p w:rsidR="00000000" w:rsidRDefault="009A1129">
      <w:pPr>
        <w:ind w:firstLineChars="200" w:firstLine="562"/>
        <w:jc w:val="center"/>
        <w:rPr>
          <w:rFonts w:ascii="楷体_GB2312" w:eastAsia="楷体_GB2312" w:hAnsi="楷体_GB2312" w:cs="楷体_GB2312" w:hint="eastAsia"/>
          <w:b/>
          <w:bCs/>
          <w:sz w:val="28"/>
          <w:szCs w:val="28"/>
        </w:rPr>
      </w:pPr>
    </w:p>
    <w:p w:rsidR="00000000" w:rsidRDefault="009A1129">
      <w:pPr>
        <w:ind w:firstLineChars="200" w:firstLine="562"/>
        <w:jc w:val="center"/>
        <w:rPr>
          <w:rFonts w:ascii="楷体_GB2312" w:eastAsia="楷体_GB2312" w:hAnsi="楷体_GB2312" w:cs="楷体_GB2312" w:hint="eastAsia"/>
          <w:b/>
          <w:bCs/>
          <w:sz w:val="28"/>
          <w:szCs w:val="28"/>
        </w:rPr>
      </w:pPr>
    </w:p>
    <w:p w:rsidR="00000000" w:rsidRDefault="009A1129">
      <w:pPr>
        <w:ind w:firstLineChars="200" w:firstLine="562"/>
        <w:jc w:val="center"/>
        <w:rPr>
          <w:rFonts w:ascii="楷体_GB2312" w:eastAsia="楷体_GB2312" w:hAnsi="楷体_GB2312" w:cs="楷体_GB2312" w:hint="eastAsia"/>
          <w:b/>
          <w:bCs/>
          <w:sz w:val="28"/>
          <w:szCs w:val="28"/>
        </w:rPr>
      </w:pPr>
    </w:p>
    <w:p w:rsidR="00000000" w:rsidRDefault="009A1129">
      <w:pPr>
        <w:ind w:firstLineChars="200" w:firstLine="562"/>
        <w:jc w:val="center"/>
        <w:rPr>
          <w:rFonts w:ascii="楷体_GB2312" w:eastAsia="楷体_GB2312" w:hAnsi="楷体_GB2312" w:cs="楷体_GB2312" w:hint="eastAsia"/>
          <w:b/>
          <w:bCs/>
          <w:sz w:val="28"/>
          <w:szCs w:val="28"/>
        </w:rPr>
      </w:pPr>
    </w:p>
    <w:p w:rsidR="00000000" w:rsidRDefault="009A1129">
      <w:pPr>
        <w:ind w:firstLineChars="200" w:firstLine="562"/>
        <w:jc w:val="center"/>
        <w:rPr>
          <w:rFonts w:ascii="楷体_GB2312" w:eastAsia="楷体_GB2312" w:hAnsi="楷体_GB2312" w:cs="楷体_GB2312" w:hint="eastAsia"/>
          <w:b/>
          <w:bCs/>
          <w:sz w:val="28"/>
          <w:szCs w:val="28"/>
        </w:rPr>
      </w:pPr>
    </w:p>
    <w:p w:rsidR="00000000" w:rsidRDefault="009A1129">
      <w:pPr>
        <w:spacing w:line="480" w:lineRule="auto"/>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lastRenderedPageBreak/>
        <w:t>第四部分</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就业对教育教学的</w:t>
      </w:r>
      <w:r>
        <w:rPr>
          <w:rFonts w:ascii="楷体_GB2312" w:eastAsia="楷体_GB2312" w:hAnsi="楷体_GB2312" w:cs="楷体_GB2312" w:hint="eastAsia"/>
          <w:b/>
          <w:bCs/>
          <w:sz w:val="36"/>
          <w:szCs w:val="36"/>
        </w:rPr>
        <w:t>反馈</w:t>
      </w:r>
    </w:p>
    <w:p w:rsidR="00000000" w:rsidRDefault="009A1129">
      <w:pPr>
        <w:autoSpaceDE w:val="0"/>
        <w:autoSpaceDN w:val="0"/>
        <w:adjustRightInd w:val="0"/>
        <w:spacing w:line="520" w:lineRule="exact"/>
        <w:ind w:firstLineChars="200" w:firstLine="560"/>
        <w:jc w:val="left"/>
        <w:rPr>
          <w:rFonts w:ascii="楷体_GB2312" w:eastAsia="楷体_GB2312" w:hAnsi="楷体_GB2312" w:cs="楷体_GB2312"/>
          <w:kern w:val="0"/>
          <w:sz w:val="28"/>
          <w:szCs w:val="28"/>
        </w:rPr>
      </w:pPr>
      <w:r>
        <w:rPr>
          <w:rFonts w:ascii="楷体_GB2312" w:eastAsia="楷体_GB2312" w:hAnsi="楷体_GB2312" w:cs="楷体_GB2312" w:hint="eastAsia"/>
          <w:kern w:val="0"/>
          <w:sz w:val="28"/>
          <w:szCs w:val="28"/>
        </w:rPr>
        <w:t>为建立和完善毕业生对人才培养的反馈机制，学院向应届毕业生发放调查问卷，了解他们对就业指导服务和人才培养工作的评价，以及对学院的满意度。</w:t>
      </w:r>
    </w:p>
    <w:p w:rsidR="00000000" w:rsidRDefault="009A1129">
      <w:pPr>
        <w:autoSpaceDE w:val="0"/>
        <w:autoSpaceDN w:val="0"/>
        <w:adjustRightInd w:val="0"/>
        <w:spacing w:line="520" w:lineRule="exact"/>
        <w:jc w:val="left"/>
        <w:rPr>
          <w:rFonts w:ascii="楷体_GB2312" w:eastAsia="楷体_GB2312" w:hAnsi="楷体_GB2312" w:cs="楷体_GB2312" w:hint="eastAsia"/>
          <w:b/>
          <w:kern w:val="0"/>
          <w:sz w:val="32"/>
          <w:szCs w:val="32"/>
        </w:rPr>
      </w:pPr>
      <w:r>
        <w:rPr>
          <w:rFonts w:ascii="楷体_GB2312" w:eastAsia="楷体_GB2312" w:hAnsi="楷体_GB2312" w:cs="楷体_GB2312" w:hint="eastAsia"/>
          <w:b/>
          <w:bCs/>
          <w:kern w:val="0"/>
          <w:sz w:val="32"/>
          <w:szCs w:val="32"/>
        </w:rPr>
        <w:t>一、</w:t>
      </w:r>
      <w:r>
        <w:rPr>
          <w:rFonts w:ascii="楷体_GB2312" w:eastAsia="楷体_GB2312" w:hAnsi="楷体_GB2312" w:cs="楷体_GB2312" w:hint="eastAsia"/>
          <w:b/>
          <w:kern w:val="0"/>
          <w:sz w:val="32"/>
          <w:szCs w:val="32"/>
        </w:rPr>
        <w:t>毕业生对母校的</w:t>
      </w:r>
      <w:r>
        <w:rPr>
          <w:rFonts w:ascii="楷体_GB2312" w:eastAsia="楷体_GB2312" w:hAnsi="楷体_GB2312" w:cs="楷体_GB2312" w:hint="eastAsia"/>
          <w:b/>
          <w:kern w:val="0"/>
          <w:sz w:val="32"/>
          <w:szCs w:val="32"/>
        </w:rPr>
        <w:t>满意度</w:t>
      </w:r>
    </w:p>
    <w:p w:rsidR="00000000" w:rsidRDefault="009A1129">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我院</w:t>
      </w:r>
      <w:r>
        <w:rPr>
          <w:rFonts w:ascii="楷体_GB2312" w:eastAsia="楷体_GB2312" w:hAnsi="楷体_GB2312" w:cs="楷体_GB2312" w:hint="eastAsia"/>
          <w:kern w:val="0"/>
          <w:sz w:val="28"/>
          <w:szCs w:val="28"/>
        </w:rPr>
        <w:t>2017</w:t>
      </w:r>
      <w:r>
        <w:rPr>
          <w:rFonts w:ascii="楷体_GB2312" w:eastAsia="楷体_GB2312" w:hAnsi="楷体_GB2312" w:cs="楷体_GB2312" w:hint="eastAsia"/>
          <w:kern w:val="0"/>
          <w:sz w:val="28"/>
          <w:szCs w:val="28"/>
        </w:rPr>
        <w:t>届毕业生对母校的满意度为</w:t>
      </w:r>
      <w:r>
        <w:rPr>
          <w:rFonts w:ascii="楷体_GB2312" w:eastAsia="楷体_GB2312" w:hAnsi="楷体_GB2312" w:cs="楷体_GB2312" w:hint="eastAsia"/>
          <w:kern w:val="0"/>
          <w:sz w:val="28"/>
          <w:szCs w:val="28"/>
        </w:rPr>
        <w:t>97.26%</w:t>
      </w:r>
      <w:r>
        <w:rPr>
          <w:rFonts w:ascii="楷体_GB2312" w:eastAsia="楷体_GB2312" w:hAnsi="楷体_GB2312" w:cs="楷体_GB2312" w:hint="eastAsia"/>
          <w:kern w:val="0"/>
          <w:sz w:val="28"/>
          <w:szCs w:val="28"/>
        </w:rPr>
        <w:t>。各学部中，毕业生对母校的满意度最高的学部是经济与管理学部（</w:t>
      </w:r>
      <w:r>
        <w:rPr>
          <w:rFonts w:ascii="楷体_GB2312" w:eastAsia="楷体_GB2312" w:hAnsi="楷体_GB2312" w:cs="楷体_GB2312" w:hint="eastAsia"/>
          <w:kern w:val="0"/>
          <w:sz w:val="28"/>
          <w:szCs w:val="28"/>
        </w:rPr>
        <w:t>99.16%</w:t>
      </w:r>
      <w:r>
        <w:rPr>
          <w:rFonts w:ascii="楷体_GB2312" w:eastAsia="楷体_GB2312" w:hAnsi="楷体_GB2312" w:cs="楷体_GB2312" w:hint="eastAsia"/>
          <w:kern w:val="0"/>
          <w:sz w:val="28"/>
          <w:szCs w:val="28"/>
        </w:rPr>
        <w:t>），有城市管理、行政管理等</w:t>
      </w:r>
      <w:r>
        <w:rPr>
          <w:rFonts w:ascii="楷体_GB2312" w:eastAsia="楷体_GB2312" w:hAnsi="楷体_GB2312" w:cs="楷体_GB2312" w:hint="eastAsia"/>
          <w:kern w:val="0"/>
          <w:sz w:val="28"/>
          <w:szCs w:val="28"/>
        </w:rPr>
        <w:t>15</w:t>
      </w:r>
      <w:r>
        <w:rPr>
          <w:rFonts w:ascii="楷体_GB2312" w:eastAsia="楷体_GB2312" w:hAnsi="楷体_GB2312" w:cs="楷体_GB2312" w:hint="eastAsia"/>
          <w:kern w:val="0"/>
          <w:sz w:val="28"/>
          <w:szCs w:val="28"/>
        </w:rPr>
        <w:t>个专业的学生对母校的满意度为</w:t>
      </w:r>
      <w:r>
        <w:rPr>
          <w:rFonts w:ascii="楷体_GB2312" w:eastAsia="楷体_GB2312" w:hAnsi="楷体_GB2312" w:cs="楷体_GB2312" w:hint="eastAsia"/>
          <w:kern w:val="0"/>
          <w:sz w:val="28"/>
          <w:szCs w:val="28"/>
        </w:rPr>
        <w:t>100%</w:t>
      </w:r>
      <w:r>
        <w:rPr>
          <w:rFonts w:ascii="楷体_GB2312" w:eastAsia="楷体_GB2312" w:hAnsi="楷体_GB2312" w:cs="楷体_GB2312" w:hint="eastAsia"/>
          <w:kern w:val="0"/>
          <w:sz w:val="28"/>
          <w:szCs w:val="28"/>
        </w:rPr>
        <w:t>，学生对我院的整体满意度较高（见表</w:t>
      </w:r>
      <w:r>
        <w:rPr>
          <w:rFonts w:ascii="楷体_GB2312" w:eastAsia="楷体_GB2312" w:hAnsi="楷体_GB2312" w:cs="楷体_GB2312" w:hint="eastAsia"/>
          <w:kern w:val="0"/>
          <w:sz w:val="28"/>
          <w:szCs w:val="28"/>
        </w:rPr>
        <w:t>4-1</w:t>
      </w:r>
      <w:r>
        <w:rPr>
          <w:rFonts w:ascii="楷体_GB2312" w:eastAsia="楷体_GB2312" w:hAnsi="楷体_GB2312" w:cs="楷体_GB2312" w:hint="eastAsia"/>
          <w:kern w:val="0"/>
          <w:sz w:val="28"/>
          <w:szCs w:val="28"/>
        </w:rPr>
        <w:t>）。</w:t>
      </w:r>
    </w:p>
    <w:p w:rsidR="00000000" w:rsidRDefault="009A1129">
      <w:pPr>
        <w:jc w:val="center"/>
        <w:rPr>
          <w:rFonts w:ascii="楷体_GB2312" w:eastAsia="楷体_GB2312" w:hAnsi="楷体_GB2312" w:cs="楷体_GB2312" w:hint="eastAsia"/>
          <w:kern w:val="0"/>
          <w:sz w:val="28"/>
          <w:szCs w:val="28"/>
        </w:rPr>
      </w:pPr>
      <w:r>
        <w:rPr>
          <w:rFonts w:ascii="楷体_GB2312" w:eastAsia="楷体_GB2312" w:hAnsi="楷体_GB2312" w:cs="楷体_GB2312" w:hint="eastAsia"/>
          <w:sz w:val="28"/>
          <w:szCs w:val="28"/>
        </w:rPr>
        <w:t>表</w:t>
      </w:r>
      <w:r>
        <w:rPr>
          <w:rFonts w:ascii="楷体_GB2312" w:eastAsia="楷体_GB2312" w:hAnsi="楷体_GB2312" w:cs="楷体_GB2312" w:hint="eastAsia"/>
          <w:sz w:val="28"/>
          <w:szCs w:val="28"/>
        </w:rPr>
        <w:t xml:space="preserve"> 4-1  </w:t>
      </w:r>
      <w:r>
        <w:rPr>
          <w:rFonts w:ascii="楷体_GB2312" w:eastAsia="楷体_GB2312" w:hAnsi="楷体_GB2312" w:cs="楷体_GB2312" w:hint="eastAsia"/>
          <w:sz w:val="28"/>
          <w:szCs w:val="28"/>
        </w:rPr>
        <w:t>201</w:t>
      </w:r>
      <w:r>
        <w:rPr>
          <w:rFonts w:ascii="楷体_GB2312" w:eastAsia="楷体_GB2312" w:hAnsi="楷体_GB2312" w:cs="楷体_GB2312" w:hint="eastAsia"/>
          <w:sz w:val="28"/>
          <w:szCs w:val="28"/>
        </w:rPr>
        <w:t>7</w:t>
      </w:r>
      <w:r>
        <w:rPr>
          <w:rFonts w:ascii="楷体_GB2312" w:eastAsia="楷体_GB2312" w:hAnsi="楷体_GB2312" w:cs="楷体_GB2312" w:hint="eastAsia"/>
          <w:sz w:val="28"/>
          <w:szCs w:val="28"/>
        </w:rPr>
        <w:t>届毕业生</w:t>
      </w:r>
      <w:r>
        <w:rPr>
          <w:rFonts w:ascii="楷体_GB2312" w:eastAsia="楷体_GB2312" w:hAnsi="楷体_GB2312" w:cs="楷体_GB2312" w:hint="eastAsia"/>
          <w:sz w:val="28"/>
          <w:szCs w:val="28"/>
        </w:rPr>
        <w:t>对母校的满意度</w:t>
      </w:r>
    </w:p>
    <w:p w:rsidR="00000000" w:rsidRDefault="009A1129">
      <w:pPr>
        <w:jc w:val="right"/>
      </w:pPr>
      <w:r>
        <w:rPr>
          <w:b/>
          <w:sz w:val="18"/>
          <w:szCs w:val="18"/>
        </w:rPr>
        <w:t>单位</w:t>
      </w:r>
      <w:r>
        <w:rPr>
          <w:rFonts w:hint="eastAsia"/>
          <w:b/>
          <w:sz w:val="18"/>
          <w:szCs w:val="18"/>
        </w:rPr>
        <w:t>：</w:t>
      </w:r>
      <w:r>
        <w:rPr>
          <w:rFonts w:ascii="Calibri" w:hAnsi="Calibri" w:cs="宋体" w:hint="eastAsia"/>
          <w:b/>
          <w:bCs/>
          <w:color w:val="000000"/>
          <w:kern w:val="0"/>
          <w:sz w:val="18"/>
          <w:szCs w:val="18"/>
        </w:rPr>
        <w:t>%</w:t>
      </w:r>
    </w:p>
    <w:tbl>
      <w:tblPr>
        <w:tblW w:w="0" w:type="auto"/>
        <w:tblInd w:w="0" w:type="dxa"/>
        <w:tblLayout w:type="fixed"/>
        <w:tblLook w:val="0000"/>
      </w:tblPr>
      <w:tblGrid>
        <w:gridCol w:w="1947"/>
        <w:gridCol w:w="2303"/>
        <w:gridCol w:w="2416"/>
        <w:gridCol w:w="2224"/>
      </w:tblGrid>
      <w:tr w:rsidR="00000000">
        <w:trPr>
          <w:trHeight w:val="285"/>
          <w:tblHeader/>
        </w:trPr>
        <w:tc>
          <w:tcPr>
            <w:tcW w:w="1947" w:type="dxa"/>
            <w:tcBorders>
              <w:top w:val="single" w:sz="8" w:space="0" w:color="FFFFFF"/>
              <w:left w:val="single" w:sz="8" w:space="0" w:color="FFFFFF"/>
              <w:bottom w:val="nil"/>
              <w:right w:val="single" w:sz="8" w:space="0" w:color="FFFFFF"/>
            </w:tcBorders>
            <w:shd w:val="clear" w:color="000000" w:fill="8DB3E2"/>
            <w:vAlign w:val="center"/>
          </w:tcPr>
          <w:p w:rsidR="00000000" w:rsidRDefault="009A1129">
            <w:pPr>
              <w:widowControl/>
              <w:spacing w:line="320" w:lineRule="exact"/>
              <w:jc w:val="center"/>
              <w:rPr>
                <w:rFonts w:ascii="Calibri" w:hAnsi="Calibri"/>
                <w:b/>
                <w:bCs/>
                <w:color w:val="000000"/>
                <w:kern w:val="0"/>
                <w:sz w:val="20"/>
                <w:szCs w:val="20"/>
              </w:rPr>
            </w:pPr>
            <w:bookmarkStart w:id="6" w:name="分院系（专业）2016届本科生对母校的满意度"/>
            <w:bookmarkEnd w:id="6"/>
            <w:r>
              <w:rPr>
                <w:rFonts w:hint="eastAsia"/>
                <w:b/>
                <w:bCs/>
                <w:color w:val="000000"/>
                <w:sz w:val="20"/>
                <w:szCs w:val="20"/>
              </w:rPr>
              <w:t>院系名称</w:t>
            </w:r>
          </w:p>
        </w:tc>
        <w:tc>
          <w:tcPr>
            <w:tcW w:w="2303" w:type="dxa"/>
            <w:tcBorders>
              <w:top w:val="single" w:sz="8" w:space="0" w:color="FFFFFF"/>
              <w:left w:val="nil"/>
              <w:bottom w:val="nil"/>
              <w:right w:val="single" w:sz="8" w:space="0" w:color="FFFFFF"/>
            </w:tcBorders>
            <w:shd w:val="clear" w:color="000000" w:fill="8DB3E2"/>
            <w:vAlign w:val="center"/>
          </w:tcPr>
          <w:p w:rsidR="00000000" w:rsidRDefault="009A1129">
            <w:pPr>
              <w:spacing w:line="320" w:lineRule="exact"/>
              <w:jc w:val="center"/>
              <w:rPr>
                <w:rFonts w:ascii="Calibri" w:hAnsi="Calibri"/>
                <w:b/>
                <w:bCs/>
                <w:color w:val="000000"/>
                <w:sz w:val="20"/>
                <w:szCs w:val="20"/>
              </w:rPr>
            </w:pPr>
            <w:r>
              <w:rPr>
                <w:rFonts w:hint="eastAsia"/>
                <w:b/>
                <w:bCs/>
                <w:color w:val="000000"/>
                <w:sz w:val="20"/>
                <w:szCs w:val="20"/>
              </w:rPr>
              <w:t>各院系对母校的满意度</w:t>
            </w:r>
          </w:p>
        </w:tc>
        <w:tc>
          <w:tcPr>
            <w:tcW w:w="2416" w:type="dxa"/>
            <w:tcBorders>
              <w:top w:val="single" w:sz="8" w:space="0" w:color="FFFFFF"/>
              <w:left w:val="nil"/>
              <w:bottom w:val="nil"/>
              <w:right w:val="single" w:sz="8" w:space="0" w:color="FFFFFF"/>
            </w:tcBorders>
            <w:shd w:val="clear" w:color="000000" w:fill="8DB3E2"/>
            <w:vAlign w:val="center"/>
          </w:tcPr>
          <w:p w:rsidR="00000000" w:rsidRDefault="009A1129">
            <w:pPr>
              <w:spacing w:line="320" w:lineRule="exact"/>
              <w:jc w:val="center"/>
              <w:rPr>
                <w:rFonts w:ascii="Calibri" w:hAnsi="Calibri"/>
                <w:b/>
                <w:bCs/>
                <w:color w:val="000000"/>
                <w:sz w:val="20"/>
                <w:szCs w:val="20"/>
              </w:rPr>
            </w:pPr>
            <w:r>
              <w:rPr>
                <w:rFonts w:hint="eastAsia"/>
                <w:b/>
                <w:bCs/>
                <w:color w:val="000000"/>
                <w:sz w:val="20"/>
                <w:szCs w:val="20"/>
              </w:rPr>
              <w:t>专业名称</w:t>
            </w:r>
          </w:p>
        </w:tc>
        <w:tc>
          <w:tcPr>
            <w:tcW w:w="2224" w:type="dxa"/>
            <w:tcBorders>
              <w:top w:val="single" w:sz="8" w:space="0" w:color="FFFFFF"/>
              <w:left w:val="nil"/>
              <w:bottom w:val="nil"/>
              <w:right w:val="single" w:sz="8" w:space="0" w:color="FFFFFF"/>
            </w:tcBorders>
            <w:shd w:val="clear" w:color="000000" w:fill="8DB3E2"/>
            <w:vAlign w:val="center"/>
          </w:tcPr>
          <w:p w:rsidR="00000000" w:rsidRDefault="009A1129">
            <w:pPr>
              <w:spacing w:line="320" w:lineRule="exact"/>
              <w:jc w:val="center"/>
              <w:rPr>
                <w:rFonts w:ascii="Calibri" w:hAnsi="Calibri"/>
                <w:b/>
                <w:bCs/>
                <w:color w:val="000000"/>
                <w:sz w:val="20"/>
                <w:szCs w:val="20"/>
              </w:rPr>
            </w:pPr>
            <w:r>
              <w:rPr>
                <w:rFonts w:hint="eastAsia"/>
                <w:b/>
                <w:bCs/>
                <w:color w:val="000000"/>
                <w:sz w:val="20"/>
                <w:szCs w:val="20"/>
              </w:rPr>
              <w:t>各专业对母校的</w:t>
            </w:r>
            <w:r>
              <w:rPr>
                <w:rFonts w:hint="eastAsia"/>
                <w:b/>
                <w:bCs/>
                <w:color w:val="000000"/>
                <w:sz w:val="20"/>
                <w:szCs w:val="20"/>
              </w:rPr>
              <w:t>满意度</w:t>
            </w:r>
          </w:p>
        </w:tc>
      </w:tr>
      <w:tr w:rsidR="00000000">
        <w:trPr>
          <w:trHeight w:val="285"/>
        </w:trPr>
        <w:tc>
          <w:tcPr>
            <w:tcW w:w="1947" w:type="dxa"/>
            <w:vMerge w:val="restart"/>
            <w:tcBorders>
              <w:top w:val="single" w:sz="8" w:space="0" w:color="FFFFFF"/>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经济与管理学部</w:t>
            </w:r>
          </w:p>
        </w:tc>
        <w:tc>
          <w:tcPr>
            <w:tcW w:w="2303" w:type="dxa"/>
            <w:vMerge w:val="restart"/>
            <w:tcBorders>
              <w:top w:val="single" w:sz="8" w:space="0" w:color="FFFFFF"/>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99.16</w:t>
            </w:r>
          </w:p>
        </w:tc>
        <w:tc>
          <w:tcPr>
            <w:tcW w:w="2416" w:type="dxa"/>
            <w:tcBorders>
              <w:top w:val="single" w:sz="8" w:space="0" w:color="FFFFFF"/>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城市管理</w:t>
            </w:r>
          </w:p>
        </w:tc>
        <w:tc>
          <w:tcPr>
            <w:tcW w:w="2224" w:type="dxa"/>
            <w:tcBorders>
              <w:top w:val="single" w:sz="8" w:space="0" w:color="FFFFFF"/>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行政管理</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市场营销</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会计学</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98.61</w:t>
            </w:r>
          </w:p>
        </w:tc>
      </w:tr>
      <w:tr w:rsidR="00000000">
        <w:trPr>
          <w:trHeight w:val="285"/>
        </w:trPr>
        <w:tc>
          <w:tcPr>
            <w:tcW w:w="1947"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single" w:sz="8" w:space="0" w:color="FFFFFF"/>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国际经济与贸易</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97.73</w:t>
            </w:r>
          </w:p>
        </w:tc>
      </w:tr>
      <w:tr w:rsidR="00000000">
        <w:trPr>
          <w:trHeight w:val="285"/>
        </w:trPr>
        <w:tc>
          <w:tcPr>
            <w:tcW w:w="1947"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人文学部</w:t>
            </w:r>
          </w:p>
        </w:tc>
        <w:tc>
          <w:tcPr>
            <w:tcW w:w="2303"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98.96</w:t>
            </w: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动画</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汉语言文学</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环境设计</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视觉传达设计</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日语</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97.44</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英语</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97.06</w:t>
            </w:r>
          </w:p>
        </w:tc>
      </w:tr>
      <w:tr w:rsidR="00000000">
        <w:trPr>
          <w:trHeight w:val="285"/>
        </w:trPr>
        <w:tc>
          <w:tcPr>
            <w:tcW w:w="1947"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工程学部</w:t>
            </w:r>
          </w:p>
        </w:tc>
        <w:tc>
          <w:tcPr>
            <w:tcW w:w="2303"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97.57</w:t>
            </w: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纺织工程</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服装设计与工程</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工程管理</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化学工程与工艺</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w:t>
            </w:r>
            <w:r>
              <w:rPr>
                <w:rFonts w:ascii="Calibri" w:hAnsi="Calibri"/>
                <w:color w:val="000000"/>
                <w:sz w:val="20"/>
                <w:szCs w:val="20"/>
              </w:rPr>
              <w:t>.00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服装与服饰设计</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98.28</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土木工程</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98.00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机械工程</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93.88</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轻化工程</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87.50</w:t>
            </w:r>
          </w:p>
        </w:tc>
      </w:tr>
      <w:tr w:rsidR="00000000">
        <w:trPr>
          <w:trHeight w:val="285"/>
        </w:trPr>
        <w:tc>
          <w:tcPr>
            <w:tcW w:w="1947"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理学部</w:t>
            </w:r>
          </w:p>
        </w:tc>
        <w:tc>
          <w:tcPr>
            <w:tcW w:w="2303"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96.95</w:t>
            </w: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海洋技术</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应用心理学</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自然地理与资源环境</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94.74</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应用统计学</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93.62</w:t>
            </w:r>
          </w:p>
        </w:tc>
      </w:tr>
      <w:tr w:rsidR="00000000">
        <w:trPr>
          <w:trHeight w:val="285"/>
        </w:trPr>
        <w:tc>
          <w:tcPr>
            <w:tcW w:w="1947"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lastRenderedPageBreak/>
              <w:t>医学部</w:t>
            </w:r>
            <w:r>
              <w:rPr>
                <w:rFonts w:ascii="Calibri" w:hAnsi="Calibri"/>
                <w:color w:val="000000"/>
                <w:sz w:val="20"/>
                <w:szCs w:val="20"/>
              </w:rPr>
              <w:t>(</w:t>
            </w:r>
            <w:r>
              <w:rPr>
                <w:rFonts w:ascii="Calibri" w:hAnsi="Calibri"/>
                <w:color w:val="000000"/>
                <w:sz w:val="20"/>
                <w:szCs w:val="20"/>
              </w:rPr>
              <w:t>四）</w:t>
            </w:r>
          </w:p>
        </w:tc>
        <w:tc>
          <w:tcPr>
            <w:tcW w:w="2303"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96.64</w:t>
            </w: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医学影像技术</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医学检验技术</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98.08</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护理学</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96.24</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医学实验技术</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88.89</w:t>
            </w:r>
          </w:p>
        </w:tc>
      </w:tr>
      <w:tr w:rsidR="00000000">
        <w:trPr>
          <w:trHeight w:val="285"/>
        </w:trPr>
        <w:tc>
          <w:tcPr>
            <w:tcW w:w="1947"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信息科学部</w:t>
            </w:r>
          </w:p>
        </w:tc>
        <w:tc>
          <w:tcPr>
            <w:tcW w:w="2303" w:type="dxa"/>
            <w:vMerge w:val="restart"/>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96.46</w:t>
            </w: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微电子科学与工程</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100.00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自动化</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98.15</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集成</w:t>
            </w:r>
            <w:r>
              <w:rPr>
                <w:rFonts w:ascii="Calibri" w:hAnsi="Calibri"/>
                <w:color w:val="000000"/>
                <w:sz w:val="20"/>
                <w:szCs w:val="20"/>
              </w:rPr>
              <w:t>电路设计与集成系统</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98.04</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物联网工程</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96.15</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计算机科学与技术</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94.87</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电子信息工程</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92.11</w:t>
            </w:r>
          </w:p>
        </w:tc>
      </w:tr>
      <w:tr w:rsidR="00000000">
        <w:trPr>
          <w:trHeight w:val="285"/>
        </w:trPr>
        <w:tc>
          <w:tcPr>
            <w:tcW w:w="1947"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医学部（五）</w:t>
            </w:r>
          </w:p>
        </w:tc>
        <w:tc>
          <w:tcPr>
            <w:tcW w:w="2303" w:type="dxa"/>
            <w:vMerge w:val="restart"/>
            <w:tcBorders>
              <w:top w:val="nil"/>
              <w:left w:val="single" w:sz="8" w:space="0" w:color="FFFFFF"/>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95.96</w:t>
            </w: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临床医学（全科医学）</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97.50</w:t>
            </w:r>
          </w:p>
        </w:tc>
      </w:tr>
      <w:tr w:rsidR="00000000">
        <w:trPr>
          <w:trHeight w:val="285"/>
        </w:trPr>
        <w:tc>
          <w:tcPr>
            <w:tcW w:w="1947"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303" w:type="dxa"/>
            <w:vMerge/>
            <w:tcBorders>
              <w:top w:val="nil"/>
              <w:left w:val="single" w:sz="8" w:space="0" w:color="FFFFFF"/>
              <w:bottom w:val="single" w:sz="8" w:space="0" w:color="FFFFFF"/>
              <w:right w:val="single" w:sz="8" w:space="0" w:color="FFFFFF"/>
            </w:tcBorders>
            <w:shd w:val="clear" w:color="auto" w:fill="auto"/>
            <w:vAlign w:val="center"/>
          </w:tcPr>
          <w:p w:rsidR="00000000" w:rsidRDefault="009A1129">
            <w:pPr>
              <w:spacing w:line="320" w:lineRule="exact"/>
              <w:rPr>
                <w:rFonts w:ascii="Calibri" w:hAnsi="Calibri" w:cs="宋体"/>
                <w:color w:val="000000"/>
                <w:sz w:val="20"/>
                <w:szCs w:val="20"/>
              </w:rPr>
            </w:pPr>
          </w:p>
        </w:tc>
        <w:tc>
          <w:tcPr>
            <w:tcW w:w="2416"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left"/>
              <w:rPr>
                <w:rFonts w:ascii="Calibri" w:hAnsi="Calibri"/>
                <w:color w:val="000000"/>
                <w:sz w:val="20"/>
                <w:szCs w:val="20"/>
              </w:rPr>
            </w:pPr>
            <w:r>
              <w:rPr>
                <w:rFonts w:ascii="Calibri" w:hAnsi="Calibri"/>
                <w:color w:val="000000"/>
                <w:sz w:val="20"/>
                <w:szCs w:val="20"/>
              </w:rPr>
              <w:t>临床医学</w:t>
            </w:r>
          </w:p>
        </w:tc>
        <w:tc>
          <w:tcPr>
            <w:tcW w:w="2224" w:type="dxa"/>
            <w:tcBorders>
              <w:top w:val="nil"/>
              <w:left w:val="nil"/>
              <w:bottom w:val="single" w:sz="8" w:space="0" w:color="FFFFFF"/>
              <w:right w:val="single" w:sz="8" w:space="0" w:color="FFFFFF"/>
            </w:tcBorders>
            <w:shd w:val="clear" w:color="000000" w:fill="F6F8FC"/>
            <w:vAlign w:val="center"/>
          </w:tcPr>
          <w:p w:rsidR="00000000" w:rsidRDefault="009A1129">
            <w:pPr>
              <w:spacing w:line="320" w:lineRule="exact"/>
              <w:jc w:val="center"/>
              <w:rPr>
                <w:rFonts w:ascii="Calibri" w:hAnsi="Calibri"/>
                <w:color w:val="000000"/>
                <w:sz w:val="20"/>
                <w:szCs w:val="20"/>
              </w:rPr>
            </w:pPr>
            <w:r>
              <w:rPr>
                <w:rFonts w:ascii="Calibri" w:hAnsi="Calibri"/>
                <w:color w:val="000000"/>
                <w:sz w:val="20"/>
                <w:szCs w:val="20"/>
              </w:rPr>
              <w:t>95.57</w:t>
            </w:r>
          </w:p>
        </w:tc>
      </w:tr>
      <w:tr w:rsidR="00000000">
        <w:trPr>
          <w:trHeight w:val="285"/>
        </w:trPr>
        <w:tc>
          <w:tcPr>
            <w:tcW w:w="1947" w:type="dxa"/>
            <w:tcBorders>
              <w:top w:val="nil"/>
              <w:left w:val="single" w:sz="8" w:space="0" w:color="FFFFFF"/>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b/>
                <w:bCs/>
                <w:color w:val="000000"/>
                <w:sz w:val="20"/>
                <w:szCs w:val="20"/>
              </w:rPr>
            </w:pPr>
            <w:r>
              <w:rPr>
                <w:rFonts w:ascii="Calibri" w:hAnsi="Calibri"/>
                <w:b/>
                <w:bCs/>
                <w:color w:val="000000"/>
                <w:sz w:val="20"/>
                <w:szCs w:val="20"/>
              </w:rPr>
              <w:t>本校本科平均</w:t>
            </w:r>
          </w:p>
        </w:tc>
        <w:tc>
          <w:tcPr>
            <w:tcW w:w="2303"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b/>
                <w:bCs/>
                <w:color w:val="000000"/>
                <w:sz w:val="20"/>
                <w:szCs w:val="20"/>
              </w:rPr>
            </w:pPr>
            <w:r>
              <w:rPr>
                <w:rFonts w:ascii="Calibri" w:hAnsi="Calibri"/>
                <w:b/>
                <w:bCs/>
                <w:color w:val="000000"/>
                <w:sz w:val="20"/>
                <w:szCs w:val="20"/>
              </w:rPr>
              <w:t>97.26</w:t>
            </w:r>
          </w:p>
        </w:tc>
        <w:tc>
          <w:tcPr>
            <w:tcW w:w="2416"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left"/>
              <w:rPr>
                <w:rFonts w:ascii="Calibri" w:hAnsi="Calibri"/>
                <w:b/>
                <w:bCs/>
                <w:color w:val="000000"/>
                <w:sz w:val="20"/>
                <w:szCs w:val="20"/>
              </w:rPr>
            </w:pPr>
            <w:r>
              <w:rPr>
                <w:rFonts w:ascii="Calibri" w:hAnsi="Calibri"/>
                <w:b/>
                <w:bCs/>
                <w:color w:val="000000"/>
                <w:sz w:val="20"/>
                <w:szCs w:val="20"/>
              </w:rPr>
              <w:t>本校本科平均</w:t>
            </w:r>
          </w:p>
        </w:tc>
        <w:tc>
          <w:tcPr>
            <w:tcW w:w="2224" w:type="dxa"/>
            <w:tcBorders>
              <w:top w:val="nil"/>
              <w:left w:val="nil"/>
              <w:bottom w:val="single" w:sz="8" w:space="0" w:color="FFFFFF"/>
              <w:right w:val="single" w:sz="8" w:space="0" w:color="FFFFFF"/>
            </w:tcBorders>
            <w:shd w:val="clear" w:color="000000" w:fill="C5D5E9"/>
            <w:vAlign w:val="center"/>
          </w:tcPr>
          <w:p w:rsidR="00000000" w:rsidRDefault="009A1129">
            <w:pPr>
              <w:spacing w:line="320" w:lineRule="exact"/>
              <w:jc w:val="center"/>
              <w:rPr>
                <w:rFonts w:ascii="Calibri" w:hAnsi="Calibri"/>
                <w:b/>
                <w:bCs/>
                <w:color w:val="000000"/>
                <w:sz w:val="20"/>
                <w:szCs w:val="20"/>
              </w:rPr>
            </w:pPr>
            <w:r>
              <w:rPr>
                <w:rFonts w:ascii="Calibri" w:hAnsi="Calibri"/>
                <w:b/>
                <w:bCs/>
                <w:color w:val="000000"/>
                <w:sz w:val="20"/>
                <w:szCs w:val="20"/>
              </w:rPr>
              <w:t>97.26</w:t>
            </w:r>
          </w:p>
        </w:tc>
      </w:tr>
    </w:tbl>
    <w:p w:rsidR="00000000" w:rsidRDefault="009A1129">
      <w:pPr>
        <w:autoSpaceDE w:val="0"/>
        <w:autoSpaceDN w:val="0"/>
        <w:adjustRightInd w:val="0"/>
        <w:spacing w:line="480" w:lineRule="auto"/>
        <w:jc w:val="center"/>
        <w:rPr>
          <w:rFonts w:ascii="楷体_GB2312" w:eastAsia="楷体_GB2312" w:hAnsi="楷体_GB2312" w:cs="楷体_GB2312" w:hint="eastAsia"/>
          <w:b/>
          <w:bCs/>
          <w:sz w:val="28"/>
          <w:szCs w:val="28"/>
        </w:rPr>
      </w:pPr>
    </w:p>
    <w:p w:rsidR="00000000" w:rsidRDefault="009A1129">
      <w:pPr>
        <w:numPr>
          <w:ilvl w:val="0"/>
          <w:numId w:val="7"/>
        </w:numPr>
        <w:spacing w:line="480" w:lineRule="auto"/>
        <w:jc w:val="left"/>
        <w:rPr>
          <w:rFonts w:ascii="楷体_GB2312" w:eastAsia="楷体_GB2312" w:hAnsi="楷体_GB2312" w:cs="楷体_GB2312" w:hint="eastAsia"/>
          <w:b/>
          <w:bCs/>
          <w:sz w:val="32"/>
          <w:szCs w:val="32"/>
        </w:rPr>
      </w:pPr>
      <w:r>
        <w:rPr>
          <w:rFonts w:ascii="楷体_GB2312" w:eastAsia="楷体_GB2312" w:hAnsi="楷体_GB2312" w:cs="楷体_GB2312" w:hint="eastAsia"/>
          <w:b/>
          <w:bCs/>
          <w:sz w:val="32"/>
          <w:szCs w:val="32"/>
        </w:rPr>
        <w:t>对</w:t>
      </w:r>
      <w:r>
        <w:rPr>
          <w:rFonts w:ascii="楷体_GB2312" w:eastAsia="楷体_GB2312" w:hAnsi="楷体_GB2312" w:cs="楷体_GB2312" w:hint="eastAsia"/>
          <w:b/>
          <w:bCs/>
          <w:sz w:val="32"/>
          <w:szCs w:val="32"/>
        </w:rPr>
        <w:t>教育教学</w:t>
      </w:r>
      <w:r>
        <w:rPr>
          <w:rFonts w:ascii="楷体_GB2312" w:eastAsia="楷体_GB2312" w:hAnsi="楷体_GB2312" w:cs="楷体_GB2312" w:hint="eastAsia"/>
          <w:b/>
          <w:bCs/>
          <w:sz w:val="32"/>
          <w:szCs w:val="32"/>
        </w:rPr>
        <w:t>反馈</w:t>
      </w:r>
    </w:p>
    <w:p w:rsidR="00000000" w:rsidRDefault="009A1129">
      <w:pPr>
        <w:spacing w:line="480" w:lineRule="auto"/>
        <w:rPr>
          <w:rFonts w:ascii="楷体_GB2312" w:eastAsia="楷体_GB2312" w:hAnsi="楷体_GB2312" w:cs="楷体_GB2312" w:hint="eastAsia"/>
          <w:b/>
          <w:sz w:val="28"/>
          <w:szCs w:val="28"/>
        </w:rPr>
      </w:pPr>
      <w:r>
        <w:rPr>
          <w:rFonts w:ascii="楷体_GB2312" w:eastAsia="楷体_GB2312" w:hAnsi="楷体_GB2312" w:cs="楷体_GB2312" w:hint="eastAsia"/>
          <w:b/>
          <w:sz w:val="32"/>
          <w:szCs w:val="32"/>
        </w:rPr>
        <w:t>（一）</w:t>
      </w:r>
      <w:r>
        <w:rPr>
          <w:rFonts w:ascii="楷体_GB2312" w:eastAsia="楷体_GB2312" w:hAnsi="楷体_GB2312" w:cs="楷体_GB2312" w:hint="eastAsia"/>
          <w:b/>
          <w:sz w:val="32"/>
          <w:szCs w:val="32"/>
        </w:rPr>
        <w:t>对学习环境评价</w:t>
      </w:r>
    </w:p>
    <w:p w:rsidR="00000000" w:rsidRDefault="009A1129">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我院</w:t>
      </w:r>
      <w:r>
        <w:rPr>
          <w:rFonts w:ascii="楷体_GB2312" w:eastAsia="楷体_GB2312" w:hAnsi="楷体_GB2312" w:cs="楷体_GB2312" w:hint="eastAsia"/>
          <w:kern w:val="0"/>
          <w:sz w:val="28"/>
          <w:szCs w:val="28"/>
        </w:rPr>
        <w:t>2017</w:t>
      </w:r>
      <w:r>
        <w:rPr>
          <w:rFonts w:ascii="楷体_GB2312" w:eastAsia="楷体_GB2312" w:hAnsi="楷体_GB2312" w:cs="楷体_GB2312" w:hint="eastAsia"/>
          <w:kern w:val="0"/>
          <w:sz w:val="28"/>
          <w:szCs w:val="28"/>
        </w:rPr>
        <w:t>届毕业生对在校学习环境的整体满意度为</w:t>
      </w:r>
      <w:r>
        <w:rPr>
          <w:rFonts w:ascii="楷体_GB2312" w:eastAsia="楷体_GB2312" w:hAnsi="楷体_GB2312" w:cs="楷体_GB2312" w:hint="eastAsia"/>
          <w:kern w:val="0"/>
          <w:sz w:val="28"/>
          <w:szCs w:val="28"/>
        </w:rPr>
        <w:t>94.46%</w:t>
      </w:r>
      <w:r>
        <w:rPr>
          <w:rFonts w:ascii="楷体_GB2312" w:eastAsia="楷体_GB2312" w:hAnsi="楷体_GB2312" w:cs="楷体_GB2312" w:hint="eastAsia"/>
          <w:kern w:val="0"/>
          <w:sz w:val="28"/>
          <w:szCs w:val="28"/>
        </w:rPr>
        <w:t>，其中非常满意的占</w:t>
      </w:r>
      <w:r>
        <w:rPr>
          <w:rFonts w:ascii="楷体_GB2312" w:eastAsia="楷体_GB2312" w:hAnsi="楷体_GB2312" w:cs="楷体_GB2312" w:hint="eastAsia"/>
          <w:kern w:val="0"/>
          <w:sz w:val="28"/>
          <w:szCs w:val="28"/>
        </w:rPr>
        <w:t>38.85%</w:t>
      </w:r>
      <w:r>
        <w:rPr>
          <w:rFonts w:ascii="楷体_GB2312" w:eastAsia="楷体_GB2312" w:hAnsi="楷体_GB2312" w:cs="楷体_GB2312" w:hint="eastAsia"/>
          <w:kern w:val="0"/>
          <w:sz w:val="28"/>
          <w:szCs w:val="28"/>
        </w:rPr>
        <w:t>（见图</w:t>
      </w:r>
      <w:r>
        <w:rPr>
          <w:rFonts w:ascii="楷体_GB2312" w:eastAsia="楷体_GB2312" w:hAnsi="楷体_GB2312" w:cs="楷体_GB2312" w:hint="eastAsia"/>
          <w:kern w:val="0"/>
          <w:sz w:val="28"/>
          <w:szCs w:val="28"/>
        </w:rPr>
        <w:t>4-1</w:t>
      </w:r>
      <w:r>
        <w:rPr>
          <w:rFonts w:ascii="楷体_GB2312" w:eastAsia="楷体_GB2312" w:hAnsi="楷体_GB2312" w:cs="楷体_GB2312" w:hint="eastAsia"/>
          <w:kern w:val="0"/>
          <w:sz w:val="28"/>
          <w:szCs w:val="28"/>
        </w:rPr>
        <w:t>）。毕业生反映需要改进和提高的方面主要集中在校园网络建设和教室设备与服务</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见图</w:t>
      </w:r>
      <w:r>
        <w:rPr>
          <w:rFonts w:ascii="楷体_GB2312" w:eastAsia="楷体_GB2312" w:hAnsi="楷体_GB2312" w:cs="楷体_GB2312" w:hint="eastAsia"/>
          <w:kern w:val="0"/>
          <w:sz w:val="28"/>
          <w:szCs w:val="28"/>
        </w:rPr>
        <w:t>4-2</w:t>
      </w:r>
      <w:r>
        <w:rPr>
          <w:rFonts w:ascii="楷体_GB2312" w:eastAsia="楷体_GB2312" w:hAnsi="楷体_GB2312" w:cs="楷体_GB2312" w:hint="eastAsia"/>
          <w:kern w:val="0"/>
          <w:sz w:val="28"/>
          <w:szCs w:val="28"/>
        </w:rPr>
        <w:t>）。</w:t>
      </w:r>
    </w:p>
    <w:bookmarkStart w:id="7" w:name="_1574777487"/>
    <w:bookmarkEnd w:id="7"/>
    <w:p w:rsidR="00000000" w:rsidRDefault="009A1129">
      <w:pPr>
        <w:pStyle w:val="a8"/>
        <w:spacing w:line="360" w:lineRule="auto"/>
        <w:ind w:left="0"/>
        <w:rPr>
          <w:rFonts w:ascii="楷体_GB2312" w:eastAsia="楷体_GB2312" w:hAnsi="楷体_GB2312" w:cs="楷体_GB2312" w:hint="eastAsia"/>
          <w:bCs/>
          <w:sz w:val="28"/>
          <w:szCs w:val="28"/>
        </w:rPr>
      </w:pPr>
      <w:r>
        <w:object w:dxaOrig="8205" w:dyaOrig="3961">
          <v:shape id="对象 34" o:spid="_x0000_i1028" type="#_x0000_t75" style="width:410.25pt;height:198pt;mso-wrap-style:square;mso-position-horizontal-relative:page;mso-position-vertical-relative:page" o:ole="">
            <v:fill o:detectmouseclick="t"/>
            <v:imagedata r:id="rId28" o:title=""/>
          </v:shape>
          <o:OLEObject Type="Embed" ProgID="Excel.Sheet.12" ShapeID="对象 34" DrawAspect="Content" ObjectID="_1598980132" r:id="rId29"/>
        </w:object>
      </w:r>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 xml:space="preserve">4-1 </w:t>
      </w:r>
      <w:bookmarkStart w:id="8" w:name="_Toc468717604"/>
      <w:r>
        <w:rPr>
          <w:rFonts w:ascii="楷体_GB2312" w:eastAsia="楷体_GB2312" w:hAnsi="楷体_GB2312" w:cs="楷体_GB2312" w:hint="eastAsia"/>
          <w:bCs/>
          <w:sz w:val="28"/>
          <w:szCs w:val="28"/>
        </w:rPr>
        <w:t>2017</w:t>
      </w:r>
      <w:r>
        <w:rPr>
          <w:rFonts w:ascii="楷体_GB2312" w:eastAsia="楷体_GB2312" w:hAnsi="楷体_GB2312" w:cs="楷体_GB2312" w:hint="eastAsia"/>
          <w:bCs/>
          <w:sz w:val="28"/>
          <w:szCs w:val="28"/>
        </w:rPr>
        <w:t>届毕业生对母校学习环境的满意</w:t>
      </w:r>
      <w:r>
        <w:rPr>
          <w:rFonts w:ascii="楷体_GB2312" w:eastAsia="楷体_GB2312" w:hAnsi="楷体_GB2312" w:cs="楷体_GB2312" w:hint="eastAsia"/>
          <w:bCs/>
          <w:sz w:val="28"/>
          <w:szCs w:val="28"/>
        </w:rPr>
        <w:t>度</w:t>
      </w:r>
      <w:bookmarkEnd w:id="8"/>
    </w:p>
    <w:bookmarkStart w:id="9" w:name="_1574777559"/>
    <w:bookmarkEnd w:id="9"/>
    <w:p w:rsidR="00000000" w:rsidRDefault="009A1129">
      <w:pPr>
        <w:rPr>
          <w:rFonts w:ascii="Calibri" w:hAnsi="Calibri"/>
          <w:b/>
        </w:rPr>
      </w:pPr>
      <w:r>
        <w:rPr>
          <w:rFonts w:ascii="Calibri" w:hAnsi="Calibri"/>
          <w:b/>
        </w:rPr>
        <w:object w:dxaOrig="8205" w:dyaOrig="3871">
          <v:shape id="对象 29" o:spid="_x0000_i1029" type="#_x0000_t75" style="width:410.25pt;height:193.5pt;mso-wrap-style:square;mso-position-horizontal-relative:page;mso-position-vertical-relative:page" o:ole="">
            <v:fill o:detectmouseclick="t"/>
            <v:imagedata r:id="rId30" o:title=""/>
          </v:shape>
          <o:OLEObject Type="Embed" ProgID="Excel.Sheet.12" ShapeID="对象 29" DrawAspect="Content" ObjectID="_1598980133" r:id="rId31"/>
        </w:object>
      </w:r>
    </w:p>
    <w:p w:rsidR="00000000" w:rsidRDefault="009A1129">
      <w:pPr>
        <w:pStyle w:val="a8"/>
        <w:spacing w:line="360" w:lineRule="auto"/>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 xml:space="preserve">4-2 </w:t>
      </w:r>
      <w:bookmarkStart w:id="10" w:name="_Toc499539771"/>
      <w:r>
        <w:rPr>
          <w:rFonts w:ascii="楷体_GB2312" w:eastAsia="楷体_GB2312" w:hAnsi="楷体_GB2312" w:cs="楷体_GB2312" w:hint="eastAsia"/>
          <w:bCs/>
          <w:sz w:val="28"/>
          <w:szCs w:val="28"/>
        </w:rPr>
        <w:t xml:space="preserve"> 2017</w:t>
      </w:r>
      <w:r>
        <w:rPr>
          <w:rFonts w:ascii="楷体_GB2312" w:eastAsia="楷体_GB2312" w:hAnsi="楷体_GB2312" w:cs="楷体_GB2312" w:hint="eastAsia"/>
          <w:bCs/>
          <w:sz w:val="28"/>
          <w:szCs w:val="28"/>
        </w:rPr>
        <w:t>届毕业生认为母校学习环境</w:t>
      </w:r>
    </w:p>
    <w:p w:rsidR="00000000" w:rsidRDefault="009A1129">
      <w:pPr>
        <w:pStyle w:val="a8"/>
        <w:spacing w:line="360" w:lineRule="auto"/>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需要改进的地方（多选）</w:t>
      </w:r>
      <w:bookmarkEnd w:id="10"/>
    </w:p>
    <w:p w:rsidR="00000000" w:rsidRDefault="009A1129"/>
    <w:p w:rsidR="00000000" w:rsidRDefault="009A1129">
      <w:pPr>
        <w:spacing w:line="480" w:lineRule="auto"/>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 xml:space="preserve"> </w:t>
      </w:r>
      <w:r>
        <w:rPr>
          <w:rFonts w:ascii="楷体_GB2312" w:eastAsia="楷体_GB2312" w:hAnsi="楷体_GB2312" w:cs="楷体_GB2312" w:hint="eastAsia"/>
          <w:b/>
          <w:sz w:val="32"/>
          <w:szCs w:val="32"/>
        </w:rPr>
        <w:t>（二）</w:t>
      </w:r>
      <w:r>
        <w:rPr>
          <w:rFonts w:ascii="楷体_GB2312" w:eastAsia="楷体_GB2312" w:hAnsi="楷体_GB2312" w:cs="楷体_GB2312" w:hint="eastAsia"/>
          <w:b/>
          <w:sz w:val="32"/>
          <w:szCs w:val="32"/>
        </w:rPr>
        <w:t>课程教学评价</w:t>
      </w:r>
    </w:p>
    <w:p w:rsidR="00000000" w:rsidRDefault="009A1129">
      <w:pPr>
        <w:pStyle w:val="aa"/>
        <w:ind w:firstLineChars="200" w:firstLine="560"/>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2017</w:t>
      </w:r>
      <w:r>
        <w:rPr>
          <w:rFonts w:ascii="楷体_GB2312" w:eastAsia="楷体_GB2312" w:hAnsi="楷体_GB2312" w:cs="楷体_GB2312" w:hint="eastAsia"/>
          <w:kern w:val="0"/>
          <w:sz w:val="28"/>
          <w:szCs w:val="28"/>
        </w:rPr>
        <w:t>届毕业生对母校</w:t>
      </w:r>
      <w:r>
        <w:rPr>
          <w:rFonts w:ascii="楷体_GB2312" w:eastAsia="楷体_GB2312" w:hAnsi="楷体_GB2312" w:cs="楷体_GB2312" w:hint="eastAsia"/>
          <w:kern w:val="0"/>
          <w:sz w:val="28"/>
          <w:szCs w:val="28"/>
        </w:rPr>
        <w:t>课程教学的总体满意度为</w:t>
      </w:r>
      <w:r>
        <w:rPr>
          <w:rFonts w:ascii="楷体_GB2312" w:eastAsia="楷体_GB2312" w:hAnsi="楷体_GB2312" w:cs="楷体_GB2312" w:hint="eastAsia"/>
          <w:kern w:val="0"/>
          <w:sz w:val="28"/>
          <w:szCs w:val="28"/>
        </w:rPr>
        <w:t>9</w:t>
      </w:r>
      <w:r>
        <w:rPr>
          <w:rFonts w:ascii="楷体_GB2312" w:eastAsia="楷体_GB2312" w:hAnsi="楷体_GB2312" w:cs="楷体_GB2312" w:hint="eastAsia"/>
          <w:kern w:val="0"/>
          <w:sz w:val="28"/>
          <w:szCs w:val="28"/>
        </w:rPr>
        <w:t>5.89</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，其中非常满意的占</w:t>
      </w:r>
      <w:r>
        <w:rPr>
          <w:rFonts w:ascii="楷体_GB2312" w:eastAsia="楷体_GB2312" w:hAnsi="楷体_GB2312" w:cs="楷体_GB2312" w:hint="eastAsia"/>
          <w:kern w:val="0"/>
          <w:sz w:val="28"/>
          <w:szCs w:val="28"/>
        </w:rPr>
        <w:t>36.62%</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见图</w:t>
      </w:r>
      <w:r>
        <w:rPr>
          <w:rFonts w:ascii="楷体_GB2312" w:eastAsia="楷体_GB2312" w:hAnsi="楷体_GB2312" w:cs="楷体_GB2312" w:hint="eastAsia"/>
          <w:kern w:val="0"/>
          <w:sz w:val="28"/>
          <w:szCs w:val="28"/>
        </w:rPr>
        <w:t>4-3</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。毕业生反映课</w:t>
      </w:r>
      <w:r>
        <w:rPr>
          <w:rFonts w:ascii="楷体_GB2312" w:eastAsia="楷体_GB2312" w:hAnsi="楷体_GB2312" w:cs="楷体_GB2312" w:hint="eastAsia"/>
          <w:kern w:val="0"/>
          <w:sz w:val="28"/>
          <w:szCs w:val="28"/>
        </w:rPr>
        <w:t>程教学需要改进的主要是</w:t>
      </w:r>
      <w:r>
        <w:rPr>
          <w:rFonts w:ascii="楷体_GB2312" w:eastAsia="楷体_GB2312" w:hAnsi="楷体_GB2312" w:cs="楷体_GB2312" w:hint="eastAsia"/>
          <w:kern w:val="0"/>
          <w:sz w:val="28"/>
          <w:szCs w:val="28"/>
        </w:rPr>
        <w:t>加强教学的实验、实习等环节和加强课堂的互动交流两个方面（见图</w:t>
      </w:r>
      <w:r>
        <w:rPr>
          <w:rFonts w:ascii="楷体_GB2312" w:eastAsia="楷体_GB2312" w:hAnsi="楷体_GB2312" w:cs="楷体_GB2312" w:hint="eastAsia"/>
          <w:kern w:val="0"/>
          <w:sz w:val="28"/>
          <w:szCs w:val="28"/>
        </w:rPr>
        <w:t>4-4</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w:t>
      </w:r>
    </w:p>
    <w:bookmarkStart w:id="11" w:name="毕业生对母校课程教学的满意度"/>
    <w:bookmarkEnd w:id="11"/>
    <w:bookmarkStart w:id="12" w:name="_1574777496"/>
    <w:bookmarkEnd w:id="12"/>
    <w:p w:rsidR="00000000" w:rsidRDefault="009A1129">
      <w:pPr>
        <w:pStyle w:val="11"/>
        <w:rPr>
          <w:rFonts w:ascii="Calibri" w:hAnsi="Calibri" w:hint="eastAsia"/>
          <w:b w:val="0"/>
        </w:rPr>
      </w:pPr>
      <w:r>
        <w:rPr>
          <w:rFonts w:ascii="Calibri" w:hAnsi="Calibri"/>
        </w:rPr>
        <w:object w:dxaOrig="8205" w:dyaOrig="3961">
          <v:shape id="对象 38" o:spid="_x0000_i1030" type="#_x0000_t75" style="width:410.25pt;height:198pt;mso-wrap-style:square;mso-position-horizontal-relative:page;mso-position-vertical-relative:page" o:ole="">
            <v:imagedata r:id="rId32" o:title=""/>
          </v:shape>
          <o:OLEObject Type="Embed" ProgID="Excel.Sheet.12" ShapeID="对象 38" DrawAspect="Content" ObjectID="_1598980134" r:id="rId33"/>
        </w:object>
      </w:r>
    </w:p>
    <w:p w:rsidR="00000000" w:rsidRDefault="009A1129">
      <w:pPr>
        <w:pStyle w:val="a8"/>
        <w:spacing w:line="360" w:lineRule="auto"/>
        <w:ind w:left="0"/>
        <w:rPr>
          <w:rFonts w:ascii="楷体_GB2312" w:eastAsia="楷体_GB2312" w:hAnsi="楷体_GB2312" w:cs="楷体_GB2312" w:hint="eastAsia"/>
          <w:bCs/>
          <w:sz w:val="28"/>
          <w:szCs w:val="28"/>
        </w:rPr>
      </w:pPr>
      <w:bookmarkStart w:id="13" w:name="_Toc468717606"/>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4-3  2017</w:t>
      </w:r>
      <w:r>
        <w:rPr>
          <w:rFonts w:ascii="楷体_GB2312" w:eastAsia="楷体_GB2312" w:hAnsi="楷体_GB2312" w:cs="楷体_GB2312" w:hint="eastAsia"/>
          <w:bCs/>
          <w:sz w:val="28"/>
          <w:szCs w:val="28"/>
        </w:rPr>
        <w:t>届毕业生对母校课程教学的满意度</w:t>
      </w:r>
      <w:bookmarkEnd w:id="13"/>
    </w:p>
    <w:bookmarkStart w:id="14" w:name="_1574777565"/>
    <w:bookmarkEnd w:id="14"/>
    <w:p w:rsidR="00000000" w:rsidRDefault="009A1129">
      <w:pPr>
        <w:rPr>
          <w:rFonts w:ascii="Calibri" w:hAnsi="Calibri"/>
          <w:b/>
        </w:rPr>
      </w:pPr>
      <w:r>
        <w:rPr>
          <w:rFonts w:ascii="Calibri" w:hAnsi="Calibri"/>
          <w:b/>
        </w:rPr>
        <w:object w:dxaOrig="8205" w:dyaOrig="3341">
          <v:shape id="_x0000_i1031" type="#_x0000_t75" style="width:410.25pt;height:167.25pt;mso-wrap-style:square;mso-position-horizontal-relative:page;mso-position-vertical-relative:page" o:ole="">
            <v:fill o:detectmouseclick="t"/>
            <v:imagedata r:id="rId34" o:title=""/>
          </v:shape>
          <o:OLEObject Type="Embed" ProgID="Excel.Sheet.12" ShapeID="_x0000_i1031" DrawAspect="Content" ObjectID="_1598980135" r:id="rId35"/>
        </w:object>
      </w:r>
    </w:p>
    <w:p w:rsidR="00000000" w:rsidRDefault="009A1129">
      <w:pPr>
        <w:pStyle w:val="a8"/>
        <w:spacing w:line="360" w:lineRule="auto"/>
        <w:ind w:left="0"/>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 xml:space="preserve">4-4  </w:t>
      </w:r>
      <w:bookmarkStart w:id="15" w:name="_Toc499539773"/>
      <w:r>
        <w:rPr>
          <w:rFonts w:ascii="楷体_GB2312" w:eastAsia="楷体_GB2312" w:hAnsi="楷体_GB2312" w:cs="楷体_GB2312" w:hint="eastAsia"/>
          <w:bCs/>
          <w:sz w:val="28"/>
          <w:szCs w:val="28"/>
        </w:rPr>
        <w:t>2017</w:t>
      </w:r>
      <w:r>
        <w:rPr>
          <w:rFonts w:ascii="楷体_GB2312" w:eastAsia="楷体_GB2312" w:hAnsi="楷体_GB2312" w:cs="楷体_GB2312" w:hint="eastAsia"/>
          <w:bCs/>
          <w:sz w:val="28"/>
          <w:szCs w:val="28"/>
        </w:rPr>
        <w:t>届毕业生认为母校课程教学</w:t>
      </w:r>
    </w:p>
    <w:p w:rsidR="00000000" w:rsidRDefault="009A1129">
      <w:pPr>
        <w:pStyle w:val="a8"/>
        <w:spacing w:line="360" w:lineRule="auto"/>
        <w:ind w:left="0"/>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需要改进的地方（多选）</w:t>
      </w:r>
      <w:bookmarkEnd w:id="15"/>
    </w:p>
    <w:p w:rsidR="00000000" w:rsidRDefault="009A1129">
      <w:pPr>
        <w:rPr>
          <w:rFonts w:hint="eastAsia"/>
        </w:rPr>
      </w:pPr>
    </w:p>
    <w:p w:rsidR="00000000" w:rsidRDefault="009A1129">
      <w:pPr>
        <w:spacing w:line="480" w:lineRule="auto"/>
        <w:rPr>
          <w:rFonts w:ascii="楷体_GB2312" w:eastAsia="楷体_GB2312" w:hAnsi="楷体_GB2312" w:cs="楷体_GB2312" w:hint="eastAsia"/>
          <w:b/>
          <w:sz w:val="32"/>
          <w:szCs w:val="32"/>
        </w:rPr>
      </w:pPr>
      <w:bookmarkStart w:id="16" w:name="_Toc468369547"/>
      <w:r>
        <w:rPr>
          <w:rFonts w:ascii="楷体_GB2312" w:eastAsia="楷体_GB2312" w:hAnsi="楷体_GB2312" w:cs="楷体_GB2312" w:hint="eastAsia"/>
          <w:b/>
          <w:sz w:val="32"/>
          <w:szCs w:val="32"/>
        </w:rPr>
        <w:t>（三）对管理服务的评价</w:t>
      </w:r>
      <w:bookmarkEnd w:id="16"/>
    </w:p>
    <w:p w:rsidR="00000000" w:rsidRDefault="009A1129">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1</w:t>
      </w:r>
      <w:r>
        <w:rPr>
          <w:rFonts w:ascii="楷体_GB2312" w:eastAsia="楷体_GB2312" w:hAnsi="楷体_GB2312" w:cs="楷体_GB2312" w:hint="eastAsia"/>
          <w:kern w:val="0"/>
          <w:sz w:val="28"/>
          <w:szCs w:val="28"/>
        </w:rPr>
        <w:t>、学生管理评价</w:t>
      </w:r>
    </w:p>
    <w:p w:rsidR="00000000" w:rsidRDefault="009A1129">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我院</w:t>
      </w:r>
      <w:r>
        <w:rPr>
          <w:rFonts w:ascii="楷体_GB2312" w:eastAsia="楷体_GB2312" w:hAnsi="楷体_GB2312" w:cs="楷体_GB2312" w:hint="eastAsia"/>
          <w:kern w:val="0"/>
          <w:sz w:val="28"/>
          <w:szCs w:val="28"/>
        </w:rPr>
        <w:t>2017</w:t>
      </w:r>
      <w:r>
        <w:rPr>
          <w:rFonts w:ascii="楷体_GB2312" w:eastAsia="楷体_GB2312" w:hAnsi="楷体_GB2312" w:cs="楷体_GB2312" w:hint="eastAsia"/>
          <w:kern w:val="0"/>
          <w:sz w:val="28"/>
          <w:szCs w:val="28"/>
        </w:rPr>
        <w:t>届毕业生对母校学生管理的满意度为</w:t>
      </w:r>
      <w:r>
        <w:rPr>
          <w:rFonts w:ascii="楷体_GB2312" w:eastAsia="楷体_GB2312" w:hAnsi="楷体_GB2312" w:cs="楷体_GB2312" w:hint="eastAsia"/>
          <w:kern w:val="0"/>
          <w:sz w:val="28"/>
          <w:szCs w:val="28"/>
        </w:rPr>
        <w:t>95.72%</w:t>
      </w:r>
      <w:r>
        <w:rPr>
          <w:rFonts w:ascii="楷体_GB2312" w:eastAsia="楷体_GB2312" w:hAnsi="楷体_GB2312" w:cs="楷体_GB2312" w:hint="eastAsia"/>
          <w:kern w:val="0"/>
          <w:sz w:val="28"/>
          <w:szCs w:val="28"/>
        </w:rPr>
        <w:t>，其中非常满意占到</w:t>
      </w:r>
      <w:r>
        <w:rPr>
          <w:rFonts w:ascii="楷体_GB2312" w:eastAsia="楷体_GB2312" w:hAnsi="楷体_GB2312" w:cs="楷体_GB2312" w:hint="eastAsia"/>
          <w:kern w:val="0"/>
          <w:sz w:val="28"/>
          <w:szCs w:val="28"/>
        </w:rPr>
        <w:t>37.71%</w:t>
      </w:r>
      <w:r>
        <w:rPr>
          <w:rFonts w:ascii="楷体_GB2312" w:eastAsia="楷体_GB2312" w:hAnsi="楷体_GB2312" w:cs="楷体_GB2312" w:hint="eastAsia"/>
          <w:kern w:val="0"/>
          <w:sz w:val="28"/>
          <w:szCs w:val="28"/>
        </w:rPr>
        <w:t>（见图</w:t>
      </w:r>
      <w:r>
        <w:rPr>
          <w:rFonts w:ascii="楷体_GB2312" w:eastAsia="楷体_GB2312" w:hAnsi="楷体_GB2312" w:cs="楷体_GB2312" w:hint="eastAsia"/>
          <w:kern w:val="0"/>
          <w:sz w:val="28"/>
          <w:szCs w:val="28"/>
        </w:rPr>
        <w:t>4-5</w:t>
      </w:r>
      <w:r>
        <w:rPr>
          <w:rFonts w:ascii="楷体_GB2312" w:eastAsia="楷体_GB2312" w:hAnsi="楷体_GB2312" w:cs="楷体_GB2312" w:hint="eastAsia"/>
          <w:kern w:val="0"/>
          <w:sz w:val="28"/>
          <w:szCs w:val="28"/>
        </w:rPr>
        <w:t>）。毕业生认为母校学生管理需要</w:t>
      </w:r>
      <w:r>
        <w:rPr>
          <w:rFonts w:ascii="楷体_GB2312" w:eastAsia="楷体_GB2312" w:hAnsi="楷体_GB2312" w:cs="楷体_GB2312" w:hint="eastAsia"/>
          <w:kern w:val="0"/>
          <w:sz w:val="28"/>
          <w:szCs w:val="28"/>
        </w:rPr>
        <w:t>改进的方面主要集中在社团活动、课外活动及假期社会实践占</w:t>
      </w:r>
      <w:r>
        <w:rPr>
          <w:rFonts w:ascii="楷体_GB2312" w:eastAsia="楷体_GB2312" w:hAnsi="楷体_GB2312" w:cs="楷体_GB2312" w:hint="eastAsia"/>
          <w:kern w:val="0"/>
          <w:sz w:val="28"/>
          <w:szCs w:val="28"/>
        </w:rPr>
        <w:t>57.82%</w:t>
      </w:r>
      <w:r>
        <w:rPr>
          <w:rFonts w:ascii="楷体_GB2312" w:eastAsia="楷体_GB2312" w:hAnsi="楷体_GB2312" w:cs="楷体_GB2312" w:hint="eastAsia"/>
          <w:kern w:val="0"/>
          <w:sz w:val="28"/>
          <w:szCs w:val="28"/>
        </w:rPr>
        <w:t>（见图</w:t>
      </w:r>
      <w:r>
        <w:rPr>
          <w:rFonts w:ascii="楷体_GB2312" w:eastAsia="楷体_GB2312" w:hAnsi="楷体_GB2312" w:cs="楷体_GB2312" w:hint="eastAsia"/>
          <w:kern w:val="0"/>
          <w:sz w:val="28"/>
          <w:szCs w:val="28"/>
        </w:rPr>
        <w:t>4-6</w:t>
      </w:r>
      <w:r>
        <w:rPr>
          <w:rFonts w:ascii="楷体_GB2312" w:eastAsia="楷体_GB2312" w:hAnsi="楷体_GB2312" w:cs="楷体_GB2312" w:hint="eastAsia"/>
          <w:kern w:val="0"/>
          <w:sz w:val="28"/>
          <w:szCs w:val="28"/>
        </w:rPr>
        <w:t>）。</w:t>
      </w:r>
    </w:p>
    <w:bookmarkStart w:id="17" w:name="_1574777488"/>
    <w:bookmarkEnd w:id="17"/>
    <w:p w:rsidR="00000000" w:rsidRDefault="009A1129">
      <w:pPr>
        <w:pStyle w:val="11"/>
        <w:rPr>
          <w:rFonts w:ascii="Calibri" w:hAnsi="Calibri" w:hint="eastAsia"/>
          <w:b w:val="0"/>
        </w:rPr>
      </w:pPr>
      <w:r>
        <w:rPr>
          <w:rFonts w:ascii="Calibri" w:hAnsi="Calibri"/>
        </w:rPr>
        <w:object w:dxaOrig="8205" w:dyaOrig="3961">
          <v:shape id="对象 36" o:spid="_x0000_i1032" type="#_x0000_t75" style="width:410.25pt;height:198pt;mso-wrap-style:square;mso-position-horizontal-relative:page;mso-position-vertical-relative:page" o:ole="">
            <v:imagedata r:id="rId36" o:title=""/>
          </v:shape>
          <o:OLEObject Type="Embed" ProgID="Excel.Sheet.12" ShapeID="对象 36" DrawAspect="Content" ObjectID="_1598980136" r:id="rId37"/>
        </w:object>
      </w:r>
    </w:p>
    <w:p w:rsidR="00000000" w:rsidRDefault="009A1129">
      <w:pPr>
        <w:pStyle w:val="a8"/>
        <w:spacing w:line="360" w:lineRule="auto"/>
        <w:ind w:left="0"/>
        <w:rPr>
          <w:rFonts w:ascii="楷体_GB2312" w:eastAsia="楷体_GB2312" w:hAnsi="楷体_GB2312" w:cs="楷体_GB2312" w:hint="eastAsia"/>
          <w:bCs/>
          <w:sz w:val="28"/>
          <w:szCs w:val="28"/>
        </w:rPr>
      </w:pPr>
      <w:bookmarkStart w:id="18" w:name="_Toc468717608"/>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4-5  2017</w:t>
      </w:r>
      <w:r>
        <w:rPr>
          <w:rFonts w:ascii="楷体_GB2312" w:eastAsia="楷体_GB2312" w:hAnsi="楷体_GB2312" w:cs="楷体_GB2312" w:hint="eastAsia"/>
          <w:bCs/>
          <w:sz w:val="28"/>
          <w:szCs w:val="28"/>
        </w:rPr>
        <w:t>届毕业生对母校学生管理的满意度</w:t>
      </w:r>
      <w:bookmarkEnd w:id="18"/>
    </w:p>
    <w:bookmarkStart w:id="19" w:name="_1574777560"/>
    <w:bookmarkEnd w:id="19"/>
    <w:p w:rsidR="00000000" w:rsidRDefault="009A1129">
      <w:pPr>
        <w:rPr>
          <w:rFonts w:ascii="Calibri" w:hAnsi="Calibri"/>
          <w:b/>
        </w:rPr>
      </w:pPr>
      <w:r>
        <w:rPr>
          <w:rFonts w:ascii="Calibri" w:hAnsi="Calibri"/>
          <w:b/>
        </w:rPr>
        <w:object w:dxaOrig="8205" w:dyaOrig="3652">
          <v:shape id="对象 31" o:spid="_x0000_i1033" type="#_x0000_t75" style="width:410.25pt;height:182.25pt;mso-wrap-style:square;mso-position-horizontal-relative:page;mso-position-vertical-relative:page" o:ole="">
            <v:fill o:detectmouseclick="t"/>
            <v:imagedata r:id="rId38" o:title=""/>
          </v:shape>
          <o:OLEObject Type="Embed" ProgID="Excel.Sheet.12" ShapeID="对象 31" DrawAspect="Content" ObjectID="_1598980137" r:id="rId39"/>
        </w:object>
      </w:r>
    </w:p>
    <w:p w:rsidR="00000000" w:rsidRDefault="009A1129">
      <w:pPr>
        <w:pStyle w:val="a8"/>
        <w:spacing w:line="360" w:lineRule="auto"/>
        <w:ind w:leftChars="200" w:left="701" w:hangingChars="100" w:hanging="281"/>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 xml:space="preserve">4-6  </w:t>
      </w:r>
      <w:bookmarkStart w:id="20" w:name="_Toc499539778"/>
      <w:r>
        <w:rPr>
          <w:rFonts w:ascii="楷体_GB2312" w:eastAsia="楷体_GB2312" w:hAnsi="楷体_GB2312" w:cs="楷体_GB2312" w:hint="eastAsia"/>
          <w:bCs/>
          <w:sz w:val="28"/>
          <w:szCs w:val="28"/>
        </w:rPr>
        <w:t>2017</w:t>
      </w:r>
      <w:r>
        <w:rPr>
          <w:rFonts w:ascii="楷体_GB2312" w:eastAsia="楷体_GB2312" w:hAnsi="楷体_GB2312" w:cs="楷体_GB2312" w:hint="eastAsia"/>
          <w:bCs/>
          <w:sz w:val="28"/>
          <w:szCs w:val="28"/>
        </w:rPr>
        <w:t>届毕业生认为母校学生管理</w:t>
      </w:r>
    </w:p>
    <w:p w:rsidR="00000000" w:rsidRDefault="009A1129">
      <w:pPr>
        <w:pStyle w:val="a8"/>
        <w:spacing w:line="360" w:lineRule="auto"/>
        <w:ind w:leftChars="200" w:left="701" w:hangingChars="100" w:hanging="281"/>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需要改进的地方（多</w:t>
      </w:r>
      <w:bookmarkEnd w:id="20"/>
      <w:r>
        <w:rPr>
          <w:rFonts w:ascii="楷体_GB2312" w:eastAsia="楷体_GB2312" w:hAnsi="楷体_GB2312" w:cs="楷体_GB2312" w:hint="eastAsia"/>
          <w:bCs/>
          <w:sz w:val="28"/>
          <w:szCs w:val="28"/>
        </w:rPr>
        <w:t>选）</w:t>
      </w:r>
    </w:p>
    <w:p w:rsidR="00000000" w:rsidRDefault="009A1129">
      <w:pPr>
        <w:rPr>
          <w:rFonts w:hint="eastAsia"/>
        </w:rPr>
      </w:pPr>
    </w:p>
    <w:p w:rsidR="00000000" w:rsidRDefault="009A1129">
      <w:pPr>
        <w:pStyle w:val="a8"/>
        <w:spacing w:line="360" w:lineRule="auto"/>
        <w:ind w:leftChars="200" w:left="700" w:hangingChars="100" w:hanging="280"/>
        <w:jc w:val="both"/>
        <w:rPr>
          <w:rFonts w:ascii="楷体_GB2312" w:eastAsia="楷体_GB2312" w:hAnsi="楷体_GB2312" w:cs="楷体_GB2312" w:hint="eastAsia"/>
          <w:kern w:val="0"/>
          <w:sz w:val="28"/>
          <w:szCs w:val="28"/>
        </w:rPr>
      </w:pPr>
      <w:r>
        <w:rPr>
          <w:rFonts w:ascii="楷体_GB2312" w:eastAsia="楷体_GB2312" w:hAnsi="楷体_GB2312" w:cs="楷体_GB2312" w:hint="eastAsia"/>
          <w:b w:val="0"/>
          <w:bCs/>
          <w:kern w:val="0"/>
          <w:sz w:val="28"/>
          <w:szCs w:val="28"/>
        </w:rPr>
        <w:t>2</w:t>
      </w:r>
      <w:r>
        <w:rPr>
          <w:rFonts w:ascii="楷体_GB2312" w:eastAsia="楷体_GB2312" w:hAnsi="楷体_GB2312" w:cs="楷体_GB2312" w:hint="eastAsia"/>
          <w:b w:val="0"/>
          <w:bCs/>
          <w:kern w:val="0"/>
          <w:sz w:val="28"/>
          <w:szCs w:val="28"/>
        </w:rPr>
        <w:t>、</w:t>
      </w:r>
      <w:r>
        <w:rPr>
          <w:rFonts w:ascii="楷体_GB2312" w:eastAsia="楷体_GB2312" w:hAnsi="楷体_GB2312" w:cs="楷体_GB2312" w:hint="eastAsia"/>
          <w:b w:val="0"/>
          <w:bCs/>
          <w:kern w:val="0"/>
          <w:sz w:val="28"/>
          <w:szCs w:val="28"/>
        </w:rPr>
        <w:t xml:space="preserve"> </w:t>
      </w:r>
      <w:r>
        <w:rPr>
          <w:rFonts w:ascii="楷体_GB2312" w:eastAsia="楷体_GB2312" w:hAnsi="楷体_GB2312" w:cs="楷体_GB2312" w:hint="eastAsia"/>
          <w:b w:val="0"/>
          <w:bCs/>
          <w:kern w:val="0"/>
          <w:sz w:val="28"/>
          <w:szCs w:val="28"/>
        </w:rPr>
        <w:t>生活服务评价</w:t>
      </w:r>
    </w:p>
    <w:p w:rsidR="00000000" w:rsidRDefault="009A1129">
      <w:pPr>
        <w:pStyle w:val="aa"/>
        <w:ind w:firstLineChars="200" w:firstLine="560"/>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我院</w:t>
      </w:r>
      <w:r>
        <w:rPr>
          <w:rFonts w:ascii="楷体_GB2312" w:eastAsia="楷体_GB2312" w:hAnsi="楷体_GB2312" w:cs="楷体_GB2312" w:hint="eastAsia"/>
          <w:kern w:val="0"/>
          <w:sz w:val="28"/>
          <w:szCs w:val="28"/>
        </w:rPr>
        <w:t>2017</w:t>
      </w:r>
      <w:r>
        <w:rPr>
          <w:rFonts w:ascii="楷体_GB2312" w:eastAsia="楷体_GB2312" w:hAnsi="楷体_GB2312" w:cs="楷体_GB2312" w:hint="eastAsia"/>
          <w:kern w:val="0"/>
          <w:sz w:val="28"/>
          <w:szCs w:val="28"/>
        </w:rPr>
        <w:t>届毕业生对母校生活服务的满意度为</w:t>
      </w:r>
      <w:r>
        <w:rPr>
          <w:rFonts w:ascii="楷体_GB2312" w:eastAsia="楷体_GB2312" w:hAnsi="楷体_GB2312" w:cs="楷体_GB2312" w:hint="eastAsia"/>
          <w:kern w:val="0"/>
          <w:sz w:val="28"/>
          <w:szCs w:val="28"/>
        </w:rPr>
        <w:t>95.77%</w:t>
      </w:r>
      <w:r>
        <w:rPr>
          <w:rFonts w:ascii="楷体_GB2312" w:eastAsia="楷体_GB2312" w:hAnsi="楷体_GB2312" w:cs="楷体_GB2312" w:hint="eastAsia"/>
          <w:kern w:val="0"/>
          <w:sz w:val="28"/>
          <w:szCs w:val="28"/>
        </w:rPr>
        <w:t>，其中非常满意的占</w:t>
      </w:r>
      <w:r>
        <w:rPr>
          <w:rFonts w:ascii="楷体_GB2312" w:eastAsia="楷体_GB2312" w:hAnsi="楷体_GB2312" w:cs="楷体_GB2312" w:hint="eastAsia"/>
          <w:kern w:val="0"/>
          <w:sz w:val="28"/>
          <w:szCs w:val="28"/>
        </w:rPr>
        <w:t>37.69%</w:t>
      </w:r>
      <w:r>
        <w:rPr>
          <w:rFonts w:ascii="楷体_GB2312" w:eastAsia="楷体_GB2312" w:hAnsi="楷体_GB2312" w:cs="楷体_GB2312" w:hint="eastAsia"/>
          <w:kern w:val="0"/>
          <w:sz w:val="28"/>
          <w:szCs w:val="28"/>
        </w:rPr>
        <w:t>（见图</w:t>
      </w:r>
      <w:r>
        <w:rPr>
          <w:rFonts w:ascii="楷体_GB2312" w:eastAsia="楷体_GB2312" w:hAnsi="楷体_GB2312" w:cs="楷体_GB2312" w:hint="eastAsia"/>
          <w:kern w:val="0"/>
          <w:sz w:val="28"/>
          <w:szCs w:val="28"/>
        </w:rPr>
        <w:t>4-7</w:t>
      </w:r>
      <w:r>
        <w:rPr>
          <w:rFonts w:ascii="楷体_GB2312" w:eastAsia="楷体_GB2312" w:hAnsi="楷体_GB2312" w:cs="楷体_GB2312" w:hint="eastAsia"/>
          <w:kern w:val="0"/>
          <w:sz w:val="28"/>
          <w:szCs w:val="28"/>
        </w:rPr>
        <w:t>）。毕业生反映需要改进的方面主要集中在宿舍和食堂，分别占</w:t>
      </w:r>
      <w:r>
        <w:rPr>
          <w:rFonts w:ascii="楷体_GB2312" w:eastAsia="楷体_GB2312" w:hAnsi="楷体_GB2312" w:cs="楷体_GB2312" w:hint="eastAsia"/>
          <w:kern w:val="0"/>
          <w:sz w:val="28"/>
          <w:szCs w:val="28"/>
        </w:rPr>
        <w:t>69.27%</w:t>
      </w:r>
      <w:r>
        <w:rPr>
          <w:rFonts w:ascii="楷体_GB2312" w:eastAsia="楷体_GB2312" w:hAnsi="楷体_GB2312" w:cs="楷体_GB2312" w:hint="eastAsia"/>
          <w:kern w:val="0"/>
          <w:sz w:val="28"/>
          <w:szCs w:val="28"/>
        </w:rPr>
        <w:t>和</w:t>
      </w:r>
      <w:r>
        <w:rPr>
          <w:rFonts w:ascii="楷体_GB2312" w:eastAsia="楷体_GB2312" w:hAnsi="楷体_GB2312" w:cs="楷体_GB2312" w:hint="eastAsia"/>
          <w:kern w:val="0"/>
          <w:sz w:val="28"/>
          <w:szCs w:val="28"/>
        </w:rPr>
        <w:t>60.88%</w:t>
      </w:r>
      <w:r>
        <w:rPr>
          <w:rFonts w:ascii="楷体_GB2312" w:eastAsia="楷体_GB2312" w:hAnsi="楷体_GB2312" w:cs="楷体_GB2312" w:hint="eastAsia"/>
          <w:kern w:val="0"/>
          <w:sz w:val="28"/>
          <w:szCs w:val="28"/>
        </w:rPr>
        <w:t>（见图</w:t>
      </w:r>
      <w:r>
        <w:rPr>
          <w:rFonts w:ascii="楷体_GB2312" w:eastAsia="楷体_GB2312" w:hAnsi="楷体_GB2312" w:cs="楷体_GB2312" w:hint="eastAsia"/>
          <w:kern w:val="0"/>
          <w:sz w:val="28"/>
          <w:szCs w:val="28"/>
        </w:rPr>
        <w:t>4-8</w:t>
      </w:r>
      <w:r>
        <w:rPr>
          <w:rFonts w:ascii="楷体_GB2312" w:eastAsia="楷体_GB2312" w:hAnsi="楷体_GB2312" w:cs="楷体_GB2312" w:hint="eastAsia"/>
          <w:kern w:val="0"/>
          <w:sz w:val="28"/>
          <w:szCs w:val="28"/>
        </w:rPr>
        <w:t>）。</w:t>
      </w:r>
    </w:p>
    <w:p w:rsidR="00000000" w:rsidRDefault="009A1129">
      <w:pPr>
        <w:autoSpaceDE w:val="0"/>
        <w:autoSpaceDN w:val="0"/>
        <w:adjustRightInd w:val="0"/>
        <w:spacing w:line="520" w:lineRule="exact"/>
        <w:ind w:firstLineChars="200" w:firstLine="560"/>
        <w:jc w:val="left"/>
        <w:rPr>
          <w:rFonts w:ascii="楷体_GB2312" w:eastAsia="楷体_GB2312" w:hAnsi="楷体_GB2312" w:cs="楷体_GB2312" w:hint="eastAsia"/>
          <w:kern w:val="0"/>
          <w:sz w:val="28"/>
          <w:szCs w:val="28"/>
        </w:rPr>
      </w:pPr>
    </w:p>
    <w:bookmarkStart w:id="21" w:name="毕业生对母校生活服务的满意度"/>
    <w:bookmarkEnd w:id="21"/>
    <w:bookmarkStart w:id="22" w:name="_1574777491"/>
    <w:bookmarkEnd w:id="22"/>
    <w:p w:rsidR="00000000" w:rsidRDefault="009A1129">
      <w:pPr>
        <w:pStyle w:val="11"/>
        <w:rPr>
          <w:rFonts w:ascii="Calibri" w:hAnsi="Calibri" w:hint="eastAsia"/>
          <w:b w:val="0"/>
        </w:rPr>
      </w:pPr>
      <w:r>
        <w:rPr>
          <w:rFonts w:ascii="Calibri" w:hAnsi="Calibri"/>
        </w:rPr>
        <w:object w:dxaOrig="8076" w:dyaOrig="3899">
          <v:shape id="对象 39" o:spid="_x0000_i1034" type="#_x0000_t75" style="width:403.5pt;height:195pt;mso-wrap-style:square;mso-position-horizontal-relative:page;mso-position-vertical-relative:page" o:ole="">
            <v:fill o:detectmouseclick="t"/>
            <v:imagedata r:id="rId40" o:title=""/>
          </v:shape>
          <o:OLEObject Type="Embed" ProgID="Excel.Sheet.12" ShapeID="对象 39" DrawAspect="Content" ObjectID="_1598980138" r:id="rId41"/>
        </w:object>
      </w:r>
    </w:p>
    <w:p w:rsidR="00000000" w:rsidRDefault="009A1129">
      <w:pPr>
        <w:pStyle w:val="a8"/>
        <w:spacing w:line="360" w:lineRule="auto"/>
        <w:ind w:left="0"/>
        <w:rPr>
          <w:rFonts w:ascii="楷体_GB2312" w:eastAsia="楷体_GB2312" w:hAnsi="楷体_GB2312" w:cs="楷体_GB2312" w:hint="eastAsia"/>
          <w:bCs/>
          <w:sz w:val="28"/>
          <w:szCs w:val="28"/>
        </w:rPr>
      </w:pPr>
      <w:bookmarkStart w:id="23" w:name="_Toc468717610"/>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4-7  2017</w:t>
      </w:r>
      <w:r>
        <w:rPr>
          <w:rFonts w:ascii="楷体_GB2312" w:eastAsia="楷体_GB2312" w:hAnsi="楷体_GB2312" w:cs="楷体_GB2312" w:hint="eastAsia"/>
          <w:bCs/>
          <w:sz w:val="28"/>
          <w:szCs w:val="28"/>
        </w:rPr>
        <w:t>届毕业生对母校生活服务的满意度</w:t>
      </w:r>
      <w:bookmarkEnd w:id="23"/>
    </w:p>
    <w:bookmarkStart w:id="24" w:name="_1574777564"/>
    <w:bookmarkEnd w:id="24"/>
    <w:p w:rsidR="00000000" w:rsidRDefault="009A1129">
      <w:pPr>
        <w:rPr>
          <w:rFonts w:ascii="Calibri" w:hAnsi="Calibri"/>
          <w:b/>
        </w:rPr>
      </w:pPr>
      <w:r>
        <w:rPr>
          <w:rFonts w:ascii="Calibri" w:hAnsi="Calibri"/>
          <w:b/>
        </w:rPr>
        <w:object w:dxaOrig="8205" w:dyaOrig="3698">
          <v:shape id="对象 32" o:spid="_x0000_i1035" type="#_x0000_t75" style="width:410.25pt;height:185.25pt;mso-wrap-style:square;mso-position-horizontal-relative:page;mso-position-vertical-relative:page" o:ole="">
            <v:fill o:detectmouseclick="t"/>
            <v:imagedata r:id="rId42" o:title=""/>
          </v:shape>
          <o:OLEObject Type="Embed" ProgID="Excel.Sheet.12" ShapeID="对象 32" DrawAspect="Content" ObjectID="_1598980139" r:id="rId43"/>
        </w:object>
      </w:r>
    </w:p>
    <w:p w:rsidR="00000000" w:rsidRDefault="009A1129">
      <w:pPr>
        <w:pStyle w:val="a8"/>
        <w:spacing w:line="360" w:lineRule="auto"/>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 xml:space="preserve">4-8  </w:t>
      </w:r>
      <w:bookmarkStart w:id="25" w:name="_Toc499539780"/>
      <w:r>
        <w:rPr>
          <w:rFonts w:ascii="楷体_GB2312" w:eastAsia="楷体_GB2312" w:hAnsi="楷体_GB2312" w:cs="楷体_GB2312" w:hint="eastAsia"/>
          <w:bCs/>
          <w:sz w:val="28"/>
          <w:szCs w:val="28"/>
        </w:rPr>
        <w:t>2017</w:t>
      </w:r>
      <w:r>
        <w:rPr>
          <w:rFonts w:ascii="楷体_GB2312" w:eastAsia="楷体_GB2312" w:hAnsi="楷体_GB2312" w:cs="楷体_GB2312" w:hint="eastAsia"/>
          <w:bCs/>
          <w:sz w:val="28"/>
          <w:szCs w:val="28"/>
        </w:rPr>
        <w:t>届毕业生认为母校生活服务</w:t>
      </w:r>
    </w:p>
    <w:p w:rsidR="00000000" w:rsidRDefault="009A1129">
      <w:pPr>
        <w:pStyle w:val="a8"/>
        <w:spacing w:line="360" w:lineRule="auto"/>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需要改进的地方（多选）</w:t>
      </w:r>
      <w:bookmarkEnd w:id="25"/>
    </w:p>
    <w:p w:rsidR="00000000" w:rsidRDefault="009A1129"/>
    <w:p w:rsidR="00000000" w:rsidRDefault="009A1129">
      <w:pPr>
        <w:pStyle w:val="3"/>
        <w:spacing w:before="120" w:after="120"/>
        <w:rPr>
          <w:rFonts w:ascii="楷体_GB2312" w:eastAsia="楷体_GB2312" w:hAnsi="楷体_GB2312" w:cs="楷体_GB2312" w:hint="eastAsia"/>
          <w:sz w:val="32"/>
        </w:rPr>
      </w:pPr>
      <w:bookmarkStart w:id="26" w:name="_Toc468369549"/>
      <w:bookmarkStart w:id="27" w:name="_Toc468369548"/>
      <w:r>
        <w:rPr>
          <w:rFonts w:ascii="楷体_GB2312" w:eastAsia="楷体_GB2312" w:hAnsi="楷体_GB2312" w:cs="楷体_GB2312" w:hint="eastAsia"/>
          <w:sz w:val="32"/>
        </w:rPr>
        <w:t>（四）对就业指导服务的评价</w:t>
      </w:r>
      <w:bookmarkEnd w:id="26"/>
    </w:p>
    <w:p w:rsidR="00000000" w:rsidRDefault="009A1129">
      <w:pPr>
        <w:pStyle w:val="aa"/>
        <w:spacing w:line="480" w:lineRule="auto"/>
        <w:ind w:firstLineChars="200" w:firstLine="560"/>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我院</w:t>
      </w:r>
      <w:r>
        <w:rPr>
          <w:rFonts w:ascii="楷体_GB2312" w:eastAsia="楷体_GB2312" w:hAnsi="楷体_GB2312" w:cs="楷体_GB2312" w:hint="eastAsia"/>
          <w:kern w:val="0"/>
          <w:sz w:val="28"/>
          <w:szCs w:val="28"/>
        </w:rPr>
        <w:t>2017</w:t>
      </w:r>
      <w:r>
        <w:rPr>
          <w:rFonts w:ascii="楷体_GB2312" w:eastAsia="楷体_GB2312" w:hAnsi="楷体_GB2312" w:cs="楷体_GB2312" w:hint="eastAsia"/>
          <w:kern w:val="0"/>
          <w:sz w:val="28"/>
          <w:szCs w:val="28"/>
        </w:rPr>
        <w:t>届毕业生对母校就业指导服务工作的满意度为</w:t>
      </w:r>
      <w:r>
        <w:rPr>
          <w:rFonts w:ascii="楷体_GB2312" w:eastAsia="楷体_GB2312" w:hAnsi="楷体_GB2312" w:cs="楷体_GB2312" w:hint="eastAsia"/>
          <w:kern w:val="0"/>
          <w:sz w:val="28"/>
          <w:szCs w:val="28"/>
        </w:rPr>
        <w:t>94.9</w:t>
      </w:r>
      <w:r>
        <w:rPr>
          <w:rFonts w:ascii="楷体_GB2312" w:eastAsia="楷体_GB2312" w:hAnsi="楷体_GB2312" w:cs="楷体_GB2312" w:hint="eastAsia"/>
          <w:kern w:val="0"/>
          <w:sz w:val="28"/>
          <w:szCs w:val="28"/>
        </w:rPr>
        <w:t>8%</w:t>
      </w:r>
      <w:r>
        <w:rPr>
          <w:rFonts w:ascii="楷体_GB2312" w:eastAsia="楷体_GB2312" w:hAnsi="楷体_GB2312" w:cs="楷体_GB2312" w:hint="eastAsia"/>
          <w:kern w:val="0"/>
          <w:sz w:val="28"/>
          <w:szCs w:val="28"/>
        </w:rPr>
        <w:t>，其中非常满意的占</w:t>
      </w:r>
      <w:r>
        <w:rPr>
          <w:rFonts w:ascii="楷体_GB2312" w:eastAsia="楷体_GB2312" w:hAnsi="楷体_GB2312" w:cs="楷体_GB2312" w:hint="eastAsia"/>
          <w:kern w:val="0"/>
          <w:sz w:val="28"/>
          <w:szCs w:val="28"/>
        </w:rPr>
        <w:t>36.45%</w:t>
      </w:r>
      <w:r>
        <w:rPr>
          <w:rFonts w:ascii="楷体_GB2312" w:eastAsia="楷体_GB2312" w:hAnsi="楷体_GB2312" w:cs="楷体_GB2312" w:hint="eastAsia"/>
          <w:kern w:val="0"/>
          <w:sz w:val="28"/>
          <w:szCs w:val="28"/>
        </w:rPr>
        <w:t>（见图</w:t>
      </w:r>
      <w:r>
        <w:rPr>
          <w:rFonts w:ascii="楷体_GB2312" w:eastAsia="楷体_GB2312" w:hAnsi="楷体_GB2312" w:cs="楷体_GB2312" w:hint="eastAsia"/>
          <w:kern w:val="0"/>
          <w:sz w:val="28"/>
          <w:szCs w:val="28"/>
        </w:rPr>
        <w:t>4-9</w:t>
      </w:r>
      <w:r>
        <w:rPr>
          <w:rFonts w:ascii="楷体_GB2312" w:eastAsia="楷体_GB2312" w:hAnsi="楷体_GB2312" w:cs="楷体_GB2312" w:hint="eastAsia"/>
          <w:kern w:val="0"/>
          <w:sz w:val="28"/>
          <w:szCs w:val="28"/>
        </w:rPr>
        <w:t>）。毕业生反映母校就业指导服务工作需要改进的方面是加强求职方法技巧辅导，占</w:t>
      </w:r>
      <w:r>
        <w:rPr>
          <w:rFonts w:ascii="楷体_GB2312" w:eastAsia="楷体_GB2312" w:hAnsi="楷体_GB2312" w:cs="楷体_GB2312" w:hint="eastAsia"/>
          <w:kern w:val="0"/>
          <w:sz w:val="28"/>
          <w:szCs w:val="28"/>
        </w:rPr>
        <w:t>52.71%</w:t>
      </w:r>
      <w:r>
        <w:rPr>
          <w:rFonts w:ascii="楷体_GB2312" w:eastAsia="楷体_GB2312" w:hAnsi="楷体_GB2312" w:cs="楷体_GB2312" w:hint="eastAsia"/>
          <w:kern w:val="0"/>
          <w:sz w:val="28"/>
          <w:szCs w:val="28"/>
        </w:rPr>
        <w:t>（见图</w:t>
      </w:r>
      <w:r>
        <w:rPr>
          <w:rFonts w:ascii="楷体_GB2312" w:eastAsia="楷体_GB2312" w:hAnsi="楷体_GB2312" w:cs="楷体_GB2312" w:hint="eastAsia"/>
          <w:kern w:val="0"/>
          <w:sz w:val="28"/>
          <w:szCs w:val="28"/>
        </w:rPr>
        <w:t>4-10</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 xml:space="preserve">  </w:t>
      </w:r>
      <w:bookmarkStart w:id="28" w:name="_1574777490"/>
      <w:bookmarkEnd w:id="28"/>
      <w:r>
        <w:rPr>
          <w:rFonts w:ascii="Calibri" w:hAnsi="Calibri"/>
          <w:b/>
        </w:rPr>
        <w:object w:dxaOrig="7406" w:dyaOrig="3535">
          <v:shape id="_x0000_i1036" type="#_x0000_t75" style="width:370.5pt;height:177pt;mso-wrap-style:square;mso-position-horizontal-relative:page;mso-position-vertical-relative:page" o:ole="">
            <v:imagedata r:id="rId44" o:title=""/>
          </v:shape>
          <o:OLEObject Type="Embed" ProgID="Excel.Sheet.12" ShapeID="_x0000_i1036" DrawAspect="Content" ObjectID="_1598980140" r:id="rId45"/>
        </w:object>
      </w:r>
    </w:p>
    <w:p w:rsidR="00000000" w:rsidRDefault="009A1129">
      <w:pPr>
        <w:pStyle w:val="a8"/>
        <w:spacing w:line="360" w:lineRule="auto"/>
        <w:ind w:left="0"/>
        <w:rPr>
          <w:rFonts w:ascii="楷体_GB2312" w:eastAsia="楷体_GB2312" w:hAnsi="楷体_GB2312" w:cs="楷体_GB2312" w:hint="eastAsia"/>
          <w:bCs/>
          <w:sz w:val="28"/>
          <w:szCs w:val="28"/>
        </w:rPr>
      </w:pPr>
      <w:bookmarkStart w:id="29" w:name="毕业生对母校就业指导服务的满意度"/>
      <w:bookmarkStart w:id="30" w:name="_Toc468717616"/>
      <w:bookmarkEnd w:id="29"/>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4-9  2017</w:t>
      </w:r>
      <w:r>
        <w:rPr>
          <w:rFonts w:ascii="楷体_GB2312" w:eastAsia="楷体_GB2312" w:hAnsi="楷体_GB2312" w:cs="楷体_GB2312" w:hint="eastAsia"/>
          <w:bCs/>
          <w:sz w:val="28"/>
          <w:szCs w:val="28"/>
        </w:rPr>
        <w:t>届毕业生对母校就业指导服务的满意度</w:t>
      </w:r>
      <w:bookmarkEnd w:id="30"/>
    </w:p>
    <w:p w:rsidR="00000000" w:rsidRDefault="009A1129">
      <w:pPr>
        <w:rPr>
          <w:rFonts w:hint="eastAsia"/>
        </w:rPr>
      </w:pPr>
    </w:p>
    <w:bookmarkStart w:id="31" w:name="_1574777562"/>
    <w:bookmarkEnd w:id="31"/>
    <w:p w:rsidR="00000000" w:rsidRDefault="009A1129">
      <w:pPr>
        <w:jc w:val="center"/>
        <w:rPr>
          <w:rFonts w:ascii="Calibri" w:hAnsi="Calibri"/>
          <w:b/>
        </w:rPr>
      </w:pPr>
      <w:r>
        <w:rPr>
          <w:rFonts w:ascii="Calibri" w:hAnsi="Calibri"/>
          <w:b/>
        </w:rPr>
        <w:object w:dxaOrig="7886" w:dyaOrig="3087">
          <v:shape id="对象 35" o:spid="_x0000_i1037" type="#_x0000_t75" style="width:394.5pt;height:154.5pt;mso-wrap-style:square;mso-position-horizontal-relative:page;mso-position-vertical-relative:page" o:ole="">
            <v:fill o:detectmouseclick="t"/>
            <v:imagedata r:id="rId46" o:title=""/>
          </v:shape>
          <o:OLEObject Type="Embed" ProgID="Excel.Sheet.12" ShapeID="对象 35" DrawAspect="Content" ObjectID="_1598980141" r:id="rId47"/>
        </w:object>
      </w:r>
    </w:p>
    <w:p w:rsidR="00000000" w:rsidRDefault="009A1129">
      <w:pPr>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图</w:t>
      </w:r>
      <w:r>
        <w:rPr>
          <w:rFonts w:ascii="楷体_GB2312" w:eastAsia="楷体_GB2312" w:hAnsi="楷体_GB2312" w:cs="楷体_GB2312" w:hint="eastAsia"/>
          <w:b/>
          <w:bCs/>
          <w:sz w:val="28"/>
          <w:szCs w:val="28"/>
        </w:rPr>
        <w:t xml:space="preserve">4-10 </w:t>
      </w:r>
      <w:bookmarkStart w:id="32" w:name="_Toc499539787"/>
      <w:r>
        <w:rPr>
          <w:rFonts w:ascii="楷体_GB2312" w:eastAsia="楷体_GB2312" w:hAnsi="楷体_GB2312" w:cs="楷体_GB2312" w:hint="eastAsia"/>
          <w:b/>
          <w:bCs/>
          <w:sz w:val="28"/>
          <w:szCs w:val="28"/>
        </w:rPr>
        <w:t xml:space="preserve"> 2017</w:t>
      </w:r>
      <w:r>
        <w:rPr>
          <w:rFonts w:ascii="楷体_GB2312" w:eastAsia="楷体_GB2312" w:hAnsi="楷体_GB2312" w:cs="楷体_GB2312" w:hint="eastAsia"/>
          <w:b/>
          <w:bCs/>
          <w:sz w:val="28"/>
          <w:szCs w:val="28"/>
        </w:rPr>
        <w:t>届毕业生认为母校就业指导服务</w:t>
      </w:r>
    </w:p>
    <w:p w:rsidR="00000000" w:rsidRDefault="009A1129">
      <w:pPr>
        <w:jc w:val="center"/>
        <w:rPr>
          <w:rFonts w:ascii="楷体_GB2312" w:eastAsia="楷体_GB2312" w:hAnsi="楷体_GB2312" w:cs="楷体_GB2312" w:hint="eastAsia"/>
          <w:b/>
          <w:bCs/>
          <w:sz w:val="28"/>
          <w:szCs w:val="28"/>
        </w:rPr>
      </w:pPr>
      <w:r>
        <w:rPr>
          <w:rFonts w:ascii="楷体_GB2312" w:eastAsia="楷体_GB2312" w:hAnsi="楷体_GB2312" w:cs="楷体_GB2312" w:hint="eastAsia"/>
          <w:b/>
          <w:bCs/>
          <w:sz w:val="28"/>
          <w:szCs w:val="28"/>
        </w:rPr>
        <w:t>需要改进的地方（多选）</w:t>
      </w:r>
      <w:bookmarkEnd w:id="32"/>
    </w:p>
    <w:p w:rsidR="00000000" w:rsidRDefault="009A1129">
      <w:pPr>
        <w:jc w:val="center"/>
        <w:rPr>
          <w:rFonts w:ascii="楷体_GB2312" w:eastAsia="楷体_GB2312" w:hAnsi="楷体_GB2312" w:cs="楷体_GB2312" w:hint="eastAsia"/>
          <w:b/>
          <w:bCs/>
          <w:sz w:val="28"/>
          <w:szCs w:val="28"/>
        </w:rPr>
      </w:pPr>
    </w:p>
    <w:p w:rsidR="00000000" w:rsidRDefault="009A1129">
      <w:pPr>
        <w:pStyle w:val="3"/>
        <w:spacing w:before="120" w:after="120"/>
        <w:rPr>
          <w:rFonts w:ascii="楷体_GB2312" w:eastAsia="楷体_GB2312" w:hAnsi="楷体_GB2312" w:cs="楷体_GB2312" w:hint="eastAsia"/>
          <w:sz w:val="32"/>
        </w:rPr>
      </w:pPr>
      <w:r>
        <w:rPr>
          <w:rFonts w:ascii="楷体_GB2312" w:eastAsia="楷体_GB2312" w:hAnsi="楷体_GB2312" w:cs="楷体_GB2312" w:hint="eastAsia"/>
          <w:sz w:val="32"/>
        </w:rPr>
        <w:t>（五）对创新创业教育的评价</w:t>
      </w:r>
      <w:bookmarkEnd w:id="27"/>
    </w:p>
    <w:p w:rsidR="00000000" w:rsidRDefault="009A1129">
      <w:pPr>
        <w:autoSpaceDE w:val="0"/>
        <w:autoSpaceDN w:val="0"/>
        <w:adjustRightInd w:val="0"/>
        <w:spacing w:line="480" w:lineRule="auto"/>
        <w:ind w:firstLineChars="200" w:firstLine="560"/>
        <w:jc w:val="left"/>
        <w:rPr>
          <w:rFonts w:ascii="Calibri" w:hAnsi="Calibri" w:hint="eastAsia"/>
          <w:b/>
          <w:bCs/>
        </w:rPr>
      </w:pPr>
      <w:r>
        <w:rPr>
          <w:rFonts w:ascii="楷体_GB2312" w:eastAsia="楷体_GB2312" w:hAnsi="楷体_GB2312" w:cs="楷体_GB2312" w:hint="eastAsia"/>
          <w:kern w:val="0"/>
          <w:sz w:val="28"/>
          <w:szCs w:val="28"/>
        </w:rPr>
        <w:t>我院</w:t>
      </w:r>
      <w:r>
        <w:rPr>
          <w:rFonts w:ascii="楷体_GB2312" w:eastAsia="楷体_GB2312" w:hAnsi="楷体_GB2312" w:cs="楷体_GB2312" w:hint="eastAsia"/>
          <w:kern w:val="0"/>
          <w:sz w:val="28"/>
          <w:szCs w:val="28"/>
        </w:rPr>
        <w:t>2017</w:t>
      </w:r>
      <w:r>
        <w:rPr>
          <w:rFonts w:ascii="楷体_GB2312" w:eastAsia="楷体_GB2312" w:hAnsi="楷体_GB2312" w:cs="楷体_GB2312" w:hint="eastAsia"/>
          <w:kern w:val="0"/>
          <w:sz w:val="28"/>
          <w:szCs w:val="28"/>
        </w:rPr>
        <w:t>届毕业生对母校创新创业指导服务的满意度为</w:t>
      </w:r>
      <w:r>
        <w:rPr>
          <w:rFonts w:ascii="楷体_GB2312" w:eastAsia="楷体_GB2312" w:hAnsi="楷体_GB2312" w:cs="楷体_GB2312" w:hint="eastAsia"/>
          <w:kern w:val="0"/>
          <w:sz w:val="28"/>
          <w:szCs w:val="28"/>
        </w:rPr>
        <w:t>94.61%</w:t>
      </w:r>
      <w:r>
        <w:rPr>
          <w:rFonts w:ascii="楷体_GB2312" w:eastAsia="楷体_GB2312" w:hAnsi="楷体_GB2312" w:cs="楷体_GB2312" w:hint="eastAsia"/>
          <w:kern w:val="0"/>
          <w:sz w:val="28"/>
          <w:szCs w:val="28"/>
        </w:rPr>
        <w:t>，对创新创业实践训练的满意度为</w:t>
      </w:r>
      <w:r>
        <w:rPr>
          <w:rFonts w:ascii="楷体_GB2312" w:eastAsia="楷体_GB2312" w:hAnsi="楷体_GB2312" w:cs="楷体_GB2312" w:hint="eastAsia"/>
          <w:kern w:val="0"/>
          <w:sz w:val="28"/>
          <w:szCs w:val="28"/>
        </w:rPr>
        <w:t>94.68%</w:t>
      </w:r>
      <w:r>
        <w:rPr>
          <w:rFonts w:ascii="楷体_GB2312" w:eastAsia="楷体_GB2312" w:hAnsi="楷体_GB2312" w:cs="楷体_GB2312" w:hint="eastAsia"/>
          <w:kern w:val="0"/>
          <w:sz w:val="28"/>
          <w:szCs w:val="28"/>
        </w:rPr>
        <w:t>，对创新创业教育教学的满意度为</w:t>
      </w:r>
      <w:r>
        <w:rPr>
          <w:rFonts w:ascii="楷体_GB2312" w:eastAsia="楷体_GB2312" w:hAnsi="楷体_GB2312" w:cs="楷体_GB2312" w:hint="eastAsia"/>
          <w:kern w:val="0"/>
          <w:sz w:val="28"/>
          <w:szCs w:val="28"/>
        </w:rPr>
        <w:t>94.01%</w:t>
      </w:r>
      <w:r>
        <w:rPr>
          <w:rFonts w:ascii="楷体_GB2312" w:eastAsia="楷体_GB2312" w:hAnsi="楷体_GB2312" w:cs="楷体_GB2312" w:hint="eastAsia"/>
          <w:kern w:val="0"/>
          <w:sz w:val="28"/>
          <w:szCs w:val="28"/>
        </w:rPr>
        <w:t>，其中非常满意的分别占</w:t>
      </w:r>
      <w:r>
        <w:rPr>
          <w:rFonts w:ascii="楷体_GB2312" w:eastAsia="楷体_GB2312" w:hAnsi="楷体_GB2312" w:cs="楷体_GB2312" w:hint="eastAsia"/>
          <w:kern w:val="0"/>
          <w:sz w:val="28"/>
          <w:szCs w:val="28"/>
        </w:rPr>
        <w:t>35.38%</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34.44%</w:t>
      </w:r>
      <w:r>
        <w:rPr>
          <w:rFonts w:ascii="楷体_GB2312" w:eastAsia="楷体_GB2312" w:hAnsi="楷体_GB2312" w:cs="楷体_GB2312" w:hint="eastAsia"/>
          <w:kern w:val="0"/>
          <w:sz w:val="28"/>
          <w:szCs w:val="28"/>
        </w:rPr>
        <w:t>和</w:t>
      </w:r>
      <w:r>
        <w:rPr>
          <w:rFonts w:ascii="楷体_GB2312" w:eastAsia="楷体_GB2312" w:hAnsi="楷体_GB2312" w:cs="楷体_GB2312" w:hint="eastAsia"/>
          <w:kern w:val="0"/>
          <w:sz w:val="28"/>
          <w:szCs w:val="28"/>
        </w:rPr>
        <w:t>34.55%</w:t>
      </w:r>
      <w:r>
        <w:rPr>
          <w:rFonts w:ascii="楷体_GB2312" w:eastAsia="楷体_GB2312" w:hAnsi="楷体_GB2312" w:cs="楷体_GB2312" w:hint="eastAsia"/>
          <w:kern w:val="0"/>
          <w:sz w:val="28"/>
          <w:szCs w:val="28"/>
        </w:rPr>
        <w:t>（见图</w:t>
      </w:r>
      <w:r>
        <w:rPr>
          <w:rFonts w:ascii="楷体_GB2312" w:eastAsia="楷体_GB2312" w:hAnsi="楷体_GB2312" w:cs="楷体_GB2312" w:hint="eastAsia"/>
          <w:kern w:val="0"/>
          <w:sz w:val="28"/>
          <w:szCs w:val="28"/>
        </w:rPr>
        <w:t>4-11</w:t>
      </w:r>
      <w:r>
        <w:rPr>
          <w:rFonts w:ascii="楷体_GB2312" w:eastAsia="楷体_GB2312" w:hAnsi="楷体_GB2312" w:cs="楷体_GB2312" w:hint="eastAsia"/>
          <w:kern w:val="0"/>
          <w:sz w:val="28"/>
          <w:szCs w:val="28"/>
        </w:rPr>
        <w:t>）。毕业生反映母校</w:t>
      </w:r>
      <w:r>
        <w:rPr>
          <w:rFonts w:ascii="楷体_GB2312" w:eastAsia="楷体_GB2312" w:hAnsi="楷体_GB2312" w:cs="楷体_GB2312" w:hint="eastAsia"/>
          <w:kern w:val="0"/>
          <w:sz w:val="28"/>
          <w:szCs w:val="28"/>
        </w:rPr>
        <w:t>创新创业教育教学需要改进的方面是课程要与专业教育进一步融合（</w:t>
      </w:r>
      <w:r>
        <w:rPr>
          <w:rFonts w:ascii="楷体_GB2312" w:eastAsia="楷体_GB2312" w:hAnsi="楷体_GB2312" w:cs="楷体_GB2312" w:hint="eastAsia"/>
          <w:kern w:val="0"/>
          <w:sz w:val="28"/>
          <w:szCs w:val="28"/>
        </w:rPr>
        <w:t>50.55%</w:t>
      </w:r>
      <w:r>
        <w:rPr>
          <w:rFonts w:ascii="楷体_GB2312" w:eastAsia="楷体_GB2312" w:hAnsi="楷体_GB2312" w:cs="楷体_GB2312" w:hint="eastAsia"/>
          <w:kern w:val="0"/>
          <w:sz w:val="28"/>
          <w:szCs w:val="28"/>
        </w:rPr>
        <w:t>），认为母校创新创业实践训练需要改进的方面是建立相关实践基地（大学生科技园、创业园、校外实践基地等）（</w:t>
      </w:r>
      <w:r>
        <w:rPr>
          <w:rFonts w:ascii="楷体_GB2312" w:eastAsia="楷体_GB2312" w:hAnsi="楷体_GB2312" w:cs="楷体_GB2312" w:hint="eastAsia"/>
          <w:kern w:val="0"/>
          <w:sz w:val="28"/>
          <w:szCs w:val="28"/>
        </w:rPr>
        <w:t>56.78%</w:t>
      </w:r>
      <w:r>
        <w:rPr>
          <w:rFonts w:ascii="楷体_GB2312" w:eastAsia="楷体_GB2312" w:hAnsi="楷体_GB2312" w:cs="楷体_GB2312" w:hint="eastAsia"/>
          <w:kern w:val="0"/>
          <w:sz w:val="28"/>
          <w:szCs w:val="28"/>
        </w:rPr>
        <w:t>），认为母校创新创业指导服务需要改进的方面是帮助学生获得各类促进创新创业的政策利好（</w:t>
      </w:r>
      <w:r>
        <w:rPr>
          <w:rFonts w:ascii="楷体_GB2312" w:eastAsia="楷体_GB2312" w:hAnsi="楷体_GB2312" w:cs="楷体_GB2312" w:hint="eastAsia"/>
          <w:kern w:val="0"/>
          <w:sz w:val="28"/>
          <w:szCs w:val="28"/>
        </w:rPr>
        <w:t>52.61%</w:t>
      </w:r>
      <w:r>
        <w:rPr>
          <w:rFonts w:ascii="楷体_GB2312" w:eastAsia="楷体_GB2312" w:hAnsi="楷体_GB2312" w:cs="楷体_GB2312" w:hint="eastAsia"/>
          <w:kern w:val="0"/>
          <w:sz w:val="28"/>
          <w:szCs w:val="28"/>
        </w:rPr>
        <w:t>）等（见图</w:t>
      </w:r>
      <w:r>
        <w:rPr>
          <w:rFonts w:ascii="楷体_GB2312" w:eastAsia="楷体_GB2312" w:hAnsi="楷体_GB2312" w:cs="楷体_GB2312" w:hint="eastAsia"/>
          <w:kern w:val="0"/>
          <w:sz w:val="28"/>
          <w:szCs w:val="28"/>
        </w:rPr>
        <w:t>4-12</w:t>
      </w:r>
      <w:r>
        <w:rPr>
          <w:rFonts w:ascii="楷体_GB2312" w:eastAsia="楷体_GB2312" w:hAnsi="楷体_GB2312" w:cs="楷体_GB2312" w:hint="eastAsia"/>
          <w:kern w:val="0"/>
          <w:sz w:val="28"/>
          <w:szCs w:val="28"/>
        </w:rPr>
        <w:t>）。</w:t>
      </w:r>
      <w:bookmarkStart w:id="33" w:name="_1574777485"/>
      <w:bookmarkEnd w:id="33"/>
      <w:r>
        <w:rPr>
          <w:rFonts w:ascii="Calibri" w:hAnsi="Calibri"/>
          <w:b/>
        </w:rPr>
        <w:object w:dxaOrig="8205" w:dyaOrig="2091">
          <v:shape id="对象 42" o:spid="_x0000_i1038" type="#_x0000_t75" style="width:410.25pt;height:104.25pt;mso-wrap-style:square;mso-position-horizontal-relative:page;mso-position-vertical-relative:page" o:ole="">
            <v:fill o:detectmouseclick="t"/>
            <v:imagedata r:id="rId48" o:title=""/>
          </v:shape>
          <o:OLEObject Type="Embed" ProgID="Excel.Sheet.12" ShapeID="对象 42" DrawAspect="Content" ObjectID="_1598980142" r:id="rId49"/>
        </w:object>
      </w:r>
    </w:p>
    <w:p w:rsidR="00000000" w:rsidRDefault="009A1129">
      <w:pPr>
        <w:pStyle w:val="a8"/>
        <w:spacing w:line="360" w:lineRule="auto"/>
        <w:ind w:left="0"/>
        <w:rPr>
          <w:rFonts w:ascii="楷体_GB2312" w:eastAsia="楷体_GB2312" w:hAnsi="楷体_GB2312" w:cs="楷体_GB2312" w:hint="eastAsia"/>
          <w:bCs/>
          <w:sz w:val="28"/>
          <w:szCs w:val="28"/>
        </w:rPr>
      </w:pPr>
      <w:bookmarkStart w:id="34" w:name="_Toc468717612"/>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4-11  2017</w:t>
      </w:r>
      <w:r>
        <w:rPr>
          <w:rFonts w:ascii="楷体_GB2312" w:eastAsia="楷体_GB2312" w:hAnsi="楷体_GB2312" w:cs="楷体_GB2312" w:hint="eastAsia"/>
          <w:bCs/>
          <w:sz w:val="28"/>
          <w:szCs w:val="28"/>
        </w:rPr>
        <w:t>届毕业生对母校创新创业教育的满意度</w:t>
      </w:r>
      <w:bookmarkEnd w:id="34"/>
    </w:p>
    <w:p w:rsidR="00000000" w:rsidRDefault="009A1129">
      <w:pPr>
        <w:rPr>
          <w:rFonts w:hint="eastAsia"/>
        </w:rPr>
      </w:pPr>
    </w:p>
    <w:bookmarkStart w:id="35" w:name="_1574777557"/>
    <w:bookmarkEnd w:id="35"/>
    <w:p w:rsidR="00000000" w:rsidRDefault="009A1129">
      <w:pPr>
        <w:rPr>
          <w:rFonts w:ascii="Calibri" w:hAnsi="Calibri"/>
        </w:rPr>
      </w:pPr>
      <w:r>
        <w:rPr>
          <w:rFonts w:ascii="Calibri" w:hAnsi="Calibri"/>
        </w:rPr>
        <w:object w:dxaOrig="8205" w:dyaOrig="4704">
          <v:shape id="_x0000_i1039" type="#_x0000_t75" style="width:410.25pt;height:235.5pt;mso-wrap-style:square;mso-position-horizontal-relative:page;mso-position-vertical-relative:page" o:ole="">
            <v:fill o:detectmouseclick="t"/>
            <v:imagedata r:id="rId50" o:title=""/>
          </v:shape>
          <o:OLEObject Type="Embed" ProgID="Excel.Sheet.12" ShapeID="_x0000_i1039" DrawAspect="Content" ObjectID="_1598980143" r:id="rId51"/>
        </w:object>
      </w:r>
    </w:p>
    <w:p w:rsidR="00000000" w:rsidRDefault="009A1129">
      <w:pPr>
        <w:pStyle w:val="a8"/>
        <w:spacing w:line="360" w:lineRule="auto"/>
        <w:rPr>
          <w:rFonts w:ascii="楷体_GB2312" w:eastAsia="楷体_GB2312" w:hAnsi="楷体_GB2312" w:cs="楷体_GB2312" w:hint="eastAsia"/>
          <w:bCs/>
          <w:sz w:val="28"/>
          <w:szCs w:val="28"/>
        </w:rPr>
      </w:pPr>
      <w:r>
        <w:rPr>
          <w:rFonts w:ascii="楷体_GB2312" w:eastAsia="楷体_GB2312" w:hAnsi="楷体_GB2312" w:cs="楷体_GB2312" w:hint="eastAsia"/>
          <w:bCs/>
          <w:sz w:val="28"/>
          <w:szCs w:val="28"/>
        </w:rPr>
        <w:t>图</w:t>
      </w:r>
      <w:r>
        <w:rPr>
          <w:rFonts w:ascii="楷体_GB2312" w:eastAsia="楷体_GB2312" w:hAnsi="楷体_GB2312" w:cs="楷体_GB2312" w:hint="eastAsia"/>
          <w:bCs/>
          <w:sz w:val="28"/>
          <w:szCs w:val="28"/>
        </w:rPr>
        <w:t xml:space="preserve">4-12  </w:t>
      </w:r>
      <w:bookmarkStart w:id="36" w:name="_Toc499539782"/>
      <w:r>
        <w:rPr>
          <w:rFonts w:ascii="楷体_GB2312" w:eastAsia="楷体_GB2312" w:hAnsi="楷体_GB2312" w:cs="楷体_GB2312" w:hint="eastAsia"/>
          <w:bCs/>
          <w:sz w:val="28"/>
          <w:szCs w:val="28"/>
        </w:rPr>
        <w:t>2017</w:t>
      </w:r>
      <w:r>
        <w:rPr>
          <w:rFonts w:ascii="楷体_GB2312" w:eastAsia="楷体_GB2312" w:hAnsi="楷体_GB2312" w:cs="楷体_GB2312" w:hint="eastAsia"/>
          <w:bCs/>
          <w:sz w:val="28"/>
          <w:szCs w:val="28"/>
        </w:rPr>
        <w:t>届毕业生认为母校创新创业教育教学</w:t>
      </w:r>
    </w:p>
    <w:p w:rsidR="00000000" w:rsidRDefault="009A1129">
      <w:pPr>
        <w:pStyle w:val="a8"/>
        <w:spacing w:line="360" w:lineRule="auto"/>
        <w:rPr>
          <w:rFonts w:eastAsia="宋体" w:cs="宋体"/>
        </w:rPr>
      </w:pPr>
      <w:r>
        <w:rPr>
          <w:rFonts w:ascii="楷体_GB2312" w:eastAsia="楷体_GB2312" w:hAnsi="楷体_GB2312" w:cs="楷体_GB2312" w:hint="eastAsia"/>
          <w:bCs/>
          <w:sz w:val="28"/>
          <w:szCs w:val="28"/>
        </w:rPr>
        <w:t>需要改进的地方（多选）</w:t>
      </w:r>
      <w:bookmarkEnd w:id="36"/>
    </w:p>
    <w:p w:rsidR="00000000" w:rsidRDefault="009A1129">
      <w:pPr>
        <w:pStyle w:val="a8"/>
        <w:spacing w:line="360" w:lineRule="auto"/>
        <w:ind w:left="0"/>
        <w:rPr>
          <w:rFonts w:ascii="楷体_GB2312" w:eastAsia="楷体_GB2312" w:hAnsi="楷体_GB2312" w:cs="楷体_GB2312" w:hint="eastAsia"/>
          <w:bCs/>
          <w:sz w:val="28"/>
          <w:szCs w:val="28"/>
        </w:rPr>
      </w:pPr>
    </w:p>
    <w:p w:rsidR="00000000" w:rsidRDefault="009A1129">
      <w:pPr>
        <w:rPr>
          <w:rFonts w:ascii="Calibri" w:hAnsi="Calibri" w:hint="eastAsia"/>
        </w:rPr>
      </w:pPr>
    </w:p>
    <w:p w:rsidR="00000000" w:rsidRDefault="009A1129">
      <w:pPr>
        <w:rPr>
          <w:rFonts w:ascii="楷体_GB2312" w:eastAsia="楷体_GB2312" w:hAnsi="楷体_GB2312" w:cs="楷体_GB2312" w:hint="eastAsia"/>
          <w:b/>
          <w:bCs/>
          <w:sz w:val="28"/>
          <w:szCs w:val="28"/>
        </w:rPr>
      </w:pPr>
    </w:p>
    <w:p w:rsidR="00000000" w:rsidRDefault="009A1129">
      <w:pPr>
        <w:rPr>
          <w:rFonts w:ascii="楷体_GB2312" w:eastAsia="楷体_GB2312" w:hAnsi="楷体_GB2312" w:cs="楷体_GB2312" w:hint="eastAsia"/>
          <w:b/>
          <w:bCs/>
          <w:sz w:val="28"/>
          <w:szCs w:val="28"/>
        </w:rPr>
      </w:pPr>
    </w:p>
    <w:p w:rsidR="00000000" w:rsidRDefault="009A1129">
      <w:pPr>
        <w:rPr>
          <w:rFonts w:ascii="楷体_GB2312" w:eastAsia="楷体_GB2312" w:hAnsi="楷体_GB2312" w:cs="楷体_GB2312" w:hint="eastAsia"/>
          <w:b/>
          <w:bCs/>
          <w:sz w:val="28"/>
          <w:szCs w:val="28"/>
        </w:rPr>
      </w:pPr>
    </w:p>
    <w:p w:rsidR="00000000" w:rsidRDefault="009A1129">
      <w:pPr>
        <w:rPr>
          <w:rFonts w:ascii="楷体_GB2312" w:eastAsia="楷体_GB2312" w:hAnsi="楷体_GB2312" w:cs="楷体_GB2312" w:hint="eastAsia"/>
          <w:b/>
          <w:bCs/>
          <w:sz w:val="28"/>
          <w:szCs w:val="28"/>
        </w:rPr>
      </w:pPr>
    </w:p>
    <w:p w:rsidR="00000000" w:rsidRDefault="009A1129">
      <w:pPr>
        <w:rPr>
          <w:rFonts w:ascii="楷体_GB2312" w:eastAsia="楷体_GB2312" w:hAnsi="楷体_GB2312" w:cs="楷体_GB2312" w:hint="eastAsia"/>
          <w:b/>
          <w:bCs/>
          <w:sz w:val="28"/>
          <w:szCs w:val="28"/>
        </w:rPr>
      </w:pPr>
    </w:p>
    <w:p w:rsidR="00000000" w:rsidRDefault="009A1129">
      <w:pPr>
        <w:rPr>
          <w:rFonts w:ascii="楷体_GB2312" w:eastAsia="楷体_GB2312" w:hAnsi="楷体_GB2312" w:cs="楷体_GB2312" w:hint="eastAsia"/>
          <w:b/>
          <w:bCs/>
          <w:sz w:val="28"/>
          <w:szCs w:val="28"/>
        </w:rPr>
      </w:pPr>
    </w:p>
    <w:p w:rsidR="00000000" w:rsidRDefault="009A1129">
      <w:pPr>
        <w:rPr>
          <w:rFonts w:ascii="楷体_GB2312" w:eastAsia="楷体_GB2312" w:hAnsi="楷体_GB2312" w:cs="楷体_GB2312" w:hint="eastAsia"/>
          <w:b/>
          <w:bCs/>
          <w:sz w:val="28"/>
          <w:szCs w:val="28"/>
        </w:rPr>
      </w:pPr>
    </w:p>
    <w:p w:rsidR="00000000" w:rsidRDefault="009A1129">
      <w:pPr>
        <w:rPr>
          <w:rFonts w:ascii="楷体_GB2312" w:eastAsia="楷体_GB2312" w:hAnsi="楷体_GB2312" w:cs="楷体_GB2312" w:hint="eastAsia"/>
          <w:b/>
          <w:bCs/>
          <w:sz w:val="28"/>
          <w:szCs w:val="28"/>
        </w:rPr>
      </w:pPr>
    </w:p>
    <w:p w:rsidR="00000000" w:rsidRDefault="009A1129">
      <w:pPr>
        <w:rPr>
          <w:rFonts w:ascii="楷体_GB2312" w:eastAsia="楷体_GB2312" w:hAnsi="楷体_GB2312" w:cs="楷体_GB2312" w:hint="eastAsia"/>
          <w:b/>
          <w:bCs/>
          <w:sz w:val="28"/>
          <w:szCs w:val="28"/>
        </w:rPr>
      </w:pPr>
    </w:p>
    <w:p w:rsidR="00000000" w:rsidRDefault="009A1129">
      <w:pPr>
        <w:rPr>
          <w:rFonts w:ascii="楷体_GB2312" w:eastAsia="楷体_GB2312" w:hAnsi="楷体_GB2312" w:cs="楷体_GB2312" w:hint="eastAsia"/>
          <w:b/>
          <w:bCs/>
          <w:sz w:val="28"/>
          <w:szCs w:val="28"/>
        </w:rPr>
      </w:pPr>
    </w:p>
    <w:p w:rsidR="00000000" w:rsidRDefault="009A1129">
      <w:pPr>
        <w:spacing w:line="480" w:lineRule="auto"/>
        <w:jc w:val="center"/>
        <w:rPr>
          <w:rFonts w:ascii="楷体_GB2312" w:eastAsia="楷体_GB2312" w:hAnsi="楷体_GB2312" w:cs="楷体_GB2312"/>
          <w:b/>
          <w:bCs/>
          <w:sz w:val="36"/>
          <w:szCs w:val="36"/>
        </w:rPr>
      </w:pPr>
      <w:r>
        <w:rPr>
          <w:rFonts w:ascii="楷体_GB2312" w:eastAsia="楷体_GB2312" w:hAnsi="楷体_GB2312" w:cs="楷体_GB2312" w:hint="eastAsia"/>
          <w:b/>
          <w:bCs/>
          <w:sz w:val="36"/>
          <w:szCs w:val="36"/>
        </w:rPr>
        <w:lastRenderedPageBreak/>
        <w:t>第五部</w:t>
      </w:r>
      <w:r>
        <w:rPr>
          <w:rFonts w:ascii="楷体_GB2312" w:eastAsia="楷体_GB2312" w:hAnsi="楷体_GB2312" w:cs="楷体_GB2312" w:hint="eastAsia"/>
          <w:b/>
          <w:bCs/>
          <w:sz w:val="36"/>
          <w:szCs w:val="36"/>
        </w:rPr>
        <w:t>分</w:t>
      </w:r>
      <w:r>
        <w:rPr>
          <w:rFonts w:ascii="楷体_GB2312" w:eastAsia="楷体_GB2312" w:hAnsi="楷体_GB2312" w:cs="楷体_GB2312" w:hint="eastAsia"/>
          <w:b/>
          <w:bCs/>
          <w:sz w:val="36"/>
          <w:szCs w:val="36"/>
        </w:rPr>
        <w:t xml:space="preserve">  </w:t>
      </w:r>
      <w:r>
        <w:rPr>
          <w:rFonts w:ascii="楷体_GB2312" w:eastAsia="楷体_GB2312" w:hAnsi="楷体_GB2312" w:cs="楷体_GB2312" w:hint="eastAsia"/>
          <w:b/>
          <w:bCs/>
          <w:sz w:val="36"/>
          <w:szCs w:val="36"/>
        </w:rPr>
        <w:t>今后就业工作的几点思考</w:t>
      </w:r>
    </w:p>
    <w:p w:rsidR="00000000" w:rsidRDefault="009A1129">
      <w:pPr>
        <w:pStyle w:val="3"/>
        <w:spacing w:line="480" w:lineRule="auto"/>
        <w:rPr>
          <w:rFonts w:ascii="楷体_GB2312" w:eastAsia="楷体_GB2312" w:hAnsi="楷体_GB2312" w:cs="楷体_GB2312" w:hint="eastAsia"/>
          <w:sz w:val="32"/>
        </w:rPr>
      </w:pPr>
      <w:r>
        <w:rPr>
          <w:rFonts w:ascii="楷体_GB2312" w:eastAsia="楷体_GB2312" w:hAnsi="楷体_GB2312" w:cs="楷体_GB2312" w:hint="eastAsia"/>
          <w:sz w:val="32"/>
        </w:rPr>
        <w:t>一、更好推动人才培养，主动适应经济社会发展需要</w:t>
      </w:r>
    </w:p>
    <w:p w:rsidR="00000000" w:rsidRDefault="009A1129">
      <w:pPr>
        <w:autoSpaceDE w:val="0"/>
        <w:autoSpaceDN w:val="0"/>
        <w:adjustRightInd w:val="0"/>
        <w:spacing w:line="480" w:lineRule="auto"/>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要主动对接地区、行业、产业需求，动态调整课程设置，强化实践教学，加强实习实训，完善产学研用结合的协同育人模式，更好培养高素质应用型人才。要通过高质量组织开展毕业生就业质量年度调查，确保所有专业都有完整的统计和分析数据，确保学院编制、发布的毕业生就业质量年度报告全面反映全院和各学部毕业生就业创业状况，切实推进和完善就业与招生、人才培养、专业调整的联动机制。要分专业建立和完善用人单位和毕业生就业状况反馈机制，认真统计、分析用人单位和毕业生对学院人才培养的意见和建议，增强人才培养和社会需要的契合度。</w:t>
      </w:r>
    </w:p>
    <w:p w:rsidR="00000000" w:rsidRDefault="009A1129">
      <w:pPr>
        <w:autoSpaceDE w:val="0"/>
        <w:autoSpaceDN w:val="0"/>
        <w:adjustRightInd w:val="0"/>
        <w:spacing w:line="480" w:lineRule="auto"/>
        <w:ind w:firstLineChars="200" w:firstLine="560"/>
        <w:jc w:val="left"/>
        <w:rPr>
          <w:rFonts w:ascii="楷体_GB2312" w:eastAsia="楷体_GB2312" w:hAnsi="楷体_GB2312" w:cs="楷体_GB2312" w:hint="eastAsia"/>
          <w:kern w:val="0"/>
          <w:sz w:val="28"/>
          <w:szCs w:val="28"/>
        </w:rPr>
      </w:pPr>
    </w:p>
    <w:p w:rsidR="00000000" w:rsidRDefault="009A1129">
      <w:pPr>
        <w:pStyle w:val="3"/>
        <w:spacing w:line="480" w:lineRule="auto"/>
        <w:rPr>
          <w:rFonts w:ascii="楷体_GB2312" w:eastAsia="楷体_GB2312" w:hAnsi="楷体_GB2312" w:cs="楷体_GB2312" w:hint="eastAsia"/>
          <w:sz w:val="32"/>
        </w:rPr>
      </w:pPr>
      <w:r>
        <w:rPr>
          <w:rFonts w:ascii="楷体_GB2312" w:eastAsia="楷体_GB2312" w:hAnsi="楷体_GB2312" w:cs="楷体_GB2312" w:hint="eastAsia"/>
          <w:sz w:val="32"/>
        </w:rPr>
        <w:t>二、深入推</w:t>
      </w:r>
      <w:r>
        <w:rPr>
          <w:rFonts w:ascii="楷体_GB2312" w:eastAsia="楷体_GB2312" w:hAnsi="楷体_GB2312" w:cs="楷体_GB2312" w:hint="eastAsia"/>
          <w:sz w:val="32"/>
        </w:rPr>
        <w:t>进大学生创新创业教育和自主创业工作</w:t>
      </w:r>
    </w:p>
    <w:p w:rsidR="00000000" w:rsidRDefault="009A1129">
      <w:pPr>
        <w:autoSpaceDE w:val="0"/>
        <w:autoSpaceDN w:val="0"/>
        <w:adjustRightInd w:val="0"/>
        <w:spacing w:line="480" w:lineRule="auto"/>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要坚持以创新创业教育促进专业教育改革，通过专业教育改革发展推动创新创业教育实施，在培养方案、课程体系、教学方法、实习、实践等教学关键环节改革上取得进展，切实将创新精神、创业意识和创新创业能力的培养融入到人才培养全过程、各环节。要积极与社会合作，建设大学生创新创业服务平台，不断完善大学生创业服务机制，根据大学生创业的不同阶段和不同需求，为其提供政策解读、项目对接和培训实训等指导服务；不断创新服务内容和方式，为自主创业的学生提供项目论证、公司注册、财务管理、法律咨询、专利代理</w:t>
      </w:r>
      <w:r>
        <w:rPr>
          <w:rFonts w:ascii="楷体_GB2312" w:eastAsia="楷体_GB2312" w:hAnsi="楷体_GB2312" w:cs="楷体_GB2312" w:hint="eastAsia"/>
          <w:kern w:val="0"/>
          <w:sz w:val="28"/>
          <w:szCs w:val="28"/>
        </w:rPr>
        <w:t>、物业管理等一条龙服务。</w:t>
      </w:r>
    </w:p>
    <w:p w:rsidR="00000000" w:rsidRDefault="009A1129">
      <w:pPr>
        <w:pStyle w:val="3"/>
        <w:spacing w:line="480" w:lineRule="auto"/>
        <w:rPr>
          <w:rFonts w:ascii="楷体_GB2312" w:eastAsia="楷体_GB2312" w:hAnsi="楷体_GB2312" w:cs="楷体_GB2312" w:hint="eastAsia"/>
          <w:sz w:val="32"/>
        </w:rPr>
      </w:pPr>
      <w:r>
        <w:rPr>
          <w:rFonts w:ascii="楷体_GB2312" w:eastAsia="楷体_GB2312" w:hAnsi="楷体_GB2312" w:cs="楷体_GB2312" w:hint="eastAsia"/>
          <w:sz w:val="32"/>
        </w:rPr>
        <w:lastRenderedPageBreak/>
        <w:t>三、积极拓宽就业创业渠道</w:t>
      </w:r>
      <w:bookmarkStart w:id="37" w:name="zhengwen"/>
    </w:p>
    <w:p w:rsidR="00000000" w:rsidRDefault="009A1129">
      <w:pPr>
        <w:autoSpaceDE w:val="0"/>
        <w:autoSpaceDN w:val="0"/>
        <w:adjustRightInd w:val="0"/>
        <w:spacing w:line="480" w:lineRule="auto"/>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要坚持基层就业大方向，服务国家发展大战略，注重面向基层和重点领域输送毕业生。要大力实施基层就业专门项目，进一步做好“村官计划”、“西部计划”、“苏北计划”、“三支一扶”等基层项目的宣传和组织工作。要结合各地“十三五”发展规划，围绕“一带一路”、“长江经济带”等重大发展战略，主动对接地方人才需求。要抓住实施“中国制造</w:t>
      </w:r>
      <w:r>
        <w:rPr>
          <w:rFonts w:ascii="楷体_GB2312" w:eastAsia="楷体_GB2312" w:hAnsi="楷体_GB2312" w:cs="楷体_GB2312" w:hint="eastAsia"/>
          <w:kern w:val="0"/>
          <w:sz w:val="28"/>
          <w:szCs w:val="28"/>
        </w:rPr>
        <w:t>2025</w:t>
      </w:r>
      <w:r>
        <w:rPr>
          <w:rFonts w:ascii="楷体_GB2312" w:eastAsia="楷体_GB2312" w:hAnsi="楷体_GB2312" w:cs="楷体_GB2312" w:hint="eastAsia"/>
          <w:kern w:val="0"/>
          <w:sz w:val="28"/>
          <w:szCs w:val="28"/>
        </w:rPr>
        <w:t>”、“互联网</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”行动计划等契机，引导毕业生到先进制造业、现代服务业和现代农业等领域就业创业。要积极鼓励大学生应征入伍，加大对大学新生、在</w:t>
      </w:r>
      <w:r>
        <w:rPr>
          <w:rFonts w:ascii="楷体_GB2312" w:eastAsia="楷体_GB2312" w:hAnsi="楷体_GB2312" w:cs="楷体_GB2312" w:hint="eastAsia"/>
          <w:kern w:val="0"/>
          <w:sz w:val="28"/>
          <w:szCs w:val="28"/>
        </w:rPr>
        <w:t>校生、毕业生等不同群体的宣传动员，努力实现征兵数量和质量进一步提高。</w:t>
      </w:r>
      <w:bookmarkEnd w:id="37"/>
    </w:p>
    <w:p w:rsidR="00000000" w:rsidRDefault="009A1129">
      <w:pPr>
        <w:autoSpaceDE w:val="0"/>
        <w:autoSpaceDN w:val="0"/>
        <w:adjustRightInd w:val="0"/>
        <w:spacing w:line="480" w:lineRule="auto"/>
        <w:ind w:firstLineChars="200" w:firstLine="560"/>
        <w:jc w:val="left"/>
        <w:rPr>
          <w:rFonts w:ascii="楷体_GB2312" w:eastAsia="楷体_GB2312" w:hAnsi="楷体_GB2312" w:cs="楷体_GB2312" w:hint="eastAsia"/>
          <w:kern w:val="0"/>
          <w:sz w:val="28"/>
          <w:szCs w:val="28"/>
        </w:rPr>
      </w:pPr>
    </w:p>
    <w:p w:rsidR="00000000" w:rsidRDefault="009A1129">
      <w:pPr>
        <w:pStyle w:val="3"/>
        <w:spacing w:line="480" w:lineRule="auto"/>
        <w:rPr>
          <w:rFonts w:ascii="楷体_GB2312" w:eastAsia="楷体_GB2312" w:hAnsi="楷体_GB2312" w:cs="楷体_GB2312" w:hint="eastAsia"/>
          <w:sz w:val="32"/>
        </w:rPr>
      </w:pPr>
      <w:r>
        <w:rPr>
          <w:rFonts w:ascii="楷体_GB2312" w:eastAsia="楷体_GB2312" w:hAnsi="楷体_GB2312" w:cs="楷体_GB2312" w:hint="eastAsia"/>
          <w:sz w:val="32"/>
        </w:rPr>
        <w:t>四、进一步提高就业创业指导与服务水平</w:t>
      </w:r>
    </w:p>
    <w:p w:rsidR="009A1129" w:rsidRDefault="009A1129">
      <w:pPr>
        <w:autoSpaceDE w:val="0"/>
        <w:autoSpaceDN w:val="0"/>
        <w:adjustRightInd w:val="0"/>
        <w:spacing w:line="480" w:lineRule="auto"/>
        <w:ind w:firstLineChars="200" w:firstLine="560"/>
        <w:jc w:val="left"/>
        <w:rPr>
          <w:rFonts w:ascii="楷体_GB2312" w:eastAsia="楷体_GB2312" w:hAnsi="楷体_GB2312" w:cs="楷体_GB2312" w:hint="eastAsia"/>
          <w:kern w:val="0"/>
          <w:sz w:val="28"/>
          <w:szCs w:val="28"/>
        </w:rPr>
      </w:pPr>
      <w:r>
        <w:rPr>
          <w:rFonts w:ascii="楷体_GB2312" w:eastAsia="楷体_GB2312" w:hAnsi="楷体_GB2312" w:cs="楷体_GB2312" w:hint="eastAsia"/>
          <w:kern w:val="0"/>
          <w:sz w:val="28"/>
          <w:szCs w:val="28"/>
        </w:rPr>
        <w:t>要利用智慧校园建设契机，依托大学工网络平台，不断深化“互联网</w:t>
      </w:r>
      <w:r>
        <w:rPr>
          <w:rFonts w:ascii="楷体_GB2312" w:eastAsia="楷体_GB2312" w:hAnsi="楷体_GB2312" w:cs="楷体_GB2312" w:hint="eastAsia"/>
          <w:kern w:val="0"/>
          <w:sz w:val="28"/>
          <w:szCs w:val="28"/>
        </w:rPr>
        <w:t>+</w:t>
      </w:r>
      <w:r>
        <w:rPr>
          <w:rFonts w:ascii="楷体_GB2312" w:eastAsia="楷体_GB2312" w:hAnsi="楷体_GB2312" w:cs="楷体_GB2312" w:hint="eastAsia"/>
          <w:kern w:val="0"/>
          <w:sz w:val="28"/>
          <w:szCs w:val="28"/>
        </w:rPr>
        <w:t>就业创业”模式创新，努力实现就业创业工作的全程化、个性化、精准化服务。要充分发挥江苏省“</w:t>
      </w:r>
      <w:r>
        <w:rPr>
          <w:rFonts w:ascii="楷体_GB2312" w:eastAsia="楷体_GB2312" w:hAnsi="楷体_GB2312" w:cs="楷体_GB2312" w:hint="eastAsia"/>
          <w:kern w:val="0"/>
          <w:sz w:val="28"/>
          <w:szCs w:val="28"/>
        </w:rPr>
        <w:t>91job</w:t>
      </w:r>
      <w:r>
        <w:rPr>
          <w:rFonts w:ascii="楷体_GB2312" w:eastAsia="楷体_GB2312" w:hAnsi="楷体_GB2312" w:cs="楷体_GB2312" w:hint="eastAsia"/>
          <w:kern w:val="0"/>
          <w:sz w:val="28"/>
          <w:szCs w:val="28"/>
        </w:rPr>
        <w:t>智慧就业平台”作用，进一步匹配毕业生求职和用人单位招聘数据，实现信息对接；重点跟踪和关注贫困家庭毕业生、残疾毕业生、少数民族毕业生和零就业家庭毕业生等，做到精准帮扶。加强与地方就业主管部门、用人单位及行业协会的合作，积极开拓就业岗位，扩大招聘</w:t>
      </w:r>
      <w:r>
        <w:rPr>
          <w:rFonts w:ascii="楷体_GB2312" w:eastAsia="楷体_GB2312" w:hAnsi="楷体_GB2312" w:cs="楷体_GB2312" w:hint="eastAsia"/>
          <w:kern w:val="0"/>
          <w:sz w:val="28"/>
          <w:szCs w:val="28"/>
        </w:rPr>
        <w:t>活动的影响，继续探索和完善网络视频招聘会模式。要严格执行工作规范，切实规范就业管理，认真审核用人单位资质和招聘信息的真实性、有效性，维护毕业生合法权益。</w:t>
      </w:r>
    </w:p>
    <w:sectPr w:rsidR="009A1129">
      <w:headerReference w:type="default" r:id="rId52"/>
      <w:footerReference w:type="default" r:id="rId53"/>
      <w:headerReference w:type="first" r:id="rId54"/>
      <w:footerReference w:type="first" r:id="rId55"/>
      <w:pgSz w:w="11906" w:h="16838"/>
      <w:pgMar w:top="1440" w:right="1797" w:bottom="1440" w:left="1797" w:header="851" w:footer="992" w:gutter="0"/>
      <w:pgNumType w:start="1"/>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1129" w:rsidRDefault="009A1129">
      <w:r>
        <w:separator/>
      </w:r>
    </w:p>
  </w:endnote>
  <w:endnote w:type="continuationSeparator" w:id="1">
    <w:p w:rsidR="009A1129" w:rsidRDefault="009A11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9A1129">
    <w:pPr>
      <w:pStyle w:val="a6"/>
    </w:pPr>
    <w:r>
      <w:pict>
        <v:shapetype id="_x0000_t202" coordsize="21600,21600" o:spt="202" path="m,l,21600r21600,l21600,xe">
          <v:stroke joinstyle="miter"/>
          <v:path gradientshapeok="t" o:connecttype="rect"/>
        </v:shapetype>
        <v:shape id="文本框 18" o:spid="_x0000_s2066" type="#_x0000_t202" style="position:absolute;margin-left:0;margin-top:0;width:2in;height:2in;z-index:251657216;mso-wrap-style:none;mso-position-horizontal:center;mso-position-horizontal-relative:margin" filled="f" stroked="f" strokeweight="1.25pt">
          <v:fill o:detectmouseclick="t"/>
          <v:textbox style="mso-fit-shape-to-text:t" inset="0,0,0,0">
            <w:txbxContent>
              <w:p w:rsidR="00000000" w:rsidRDefault="009A112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6666D3" w:rsidRPr="006666D3">
                  <w:rPr>
                    <w:noProof/>
                    <w:lang w:val="en-US" w:eastAsia="zh-CN"/>
                  </w:rPr>
                  <w:t>32</w:t>
                </w:r>
                <w:r>
                  <w:rPr>
                    <w:rFonts w:hint="eastAsia"/>
                    <w:sz w:val="18"/>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9A1129">
    <w:pPr>
      <w:pStyle w:val="a6"/>
      <w:jc w:val="center"/>
    </w:pPr>
    <w:r>
      <w:pict>
        <v:shapetype id="_x0000_t202" coordsize="21600,21600" o:spt="202" path="m,l,21600r21600,l21600,xe">
          <v:stroke joinstyle="miter"/>
          <v:path gradientshapeok="t" o:connecttype="rect"/>
        </v:shapetype>
        <v:shape id="文本框 19" o:spid="_x0000_s2067" type="#_x0000_t202" style="position:absolute;left:0;text-align:left;margin-left:0;margin-top:0;width:2in;height:2in;z-index:251658240;mso-wrap-style:none;mso-position-horizontal:center;mso-position-horizontal-relative:margin" filled="f" stroked="f" strokeweight="1.25pt">
          <v:fill o:detectmouseclick="t"/>
          <v:textbox style="mso-fit-shape-to-text:t" inset="0,0,0,0">
            <w:txbxContent>
              <w:p w:rsidR="00000000" w:rsidRDefault="009A1129">
                <w:pPr>
                  <w:snapToGrid w:val="0"/>
                  <w:rPr>
                    <w:rFonts w:hint="eastAsia"/>
                    <w:sz w:val="18"/>
                  </w:rPr>
                </w:pPr>
                <w:r>
                  <w:rPr>
                    <w:rFonts w:hint="eastAsia"/>
                    <w:sz w:val="18"/>
                  </w:rPr>
                  <w:fldChar w:fldCharType="begin"/>
                </w:r>
                <w:r>
                  <w:rPr>
                    <w:rFonts w:hint="eastAsia"/>
                    <w:sz w:val="18"/>
                  </w:rPr>
                  <w:instrText xml:space="preserve"> PAGE  \* MERG</w:instrText>
                </w:r>
                <w:r>
                  <w:rPr>
                    <w:rFonts w:hint="eastAsia"/>
                    <w:sz w:val="18"/>
                  </w:rPr>
                  <w:instrText xml:space="preserve">EFORMAT </w:instrText>
                </w:r>
                <w:r>
                  <w:rPr>
                    <w:rFonts w:hint="eastAsia"/>
                    <w:sz w:val="18"/>
                  </w:rPr>
                  <w:fldChar w:fldCharType="separate"/>
                </w:r>
                <w:r w:rsidR="006666D3" w:rsidRPr="006666D3">
                  <w:rPr>
                    <w:noProof/>
                    <w:lang w:val="en-US" w:eastAsia="zh-CN"/>
                  </w:rPr>
                  <w:t>1</w:t>
                </w:r>
                <w:r>
                  <w:rPr>
                    <w:rFonts w:hint="eastAsia"/>
                    <w:sz w:val="18"/>
                  </w:rPr>
                  <w:fldChar w:fldCharType="end"/>
                </w:r>
              </w:p>
            </w:txbxContent>
          </v:textbox>
          <w10:wrap anchorx="margin"/>
        </v:shape>
      </w:pict>
    </w:r>
  </w:p>
  <w:p w:rsidR="00000000" w:rsidRDefault="009A112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1129" w:rsidRDefault="009A1129">
      <w:r>
        <w:separator/>
      </w:r>
    </w:p>
  </w:footnote>
  <w:footnote w:type="continuationSeparator" w:id="1">
    <w:p w:rsidR="009A1129" w:rsidRDefault="009A11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666D3">
    <w:pPr>
      <w:pStyle w:val="a7"/>
      <w:tabs>
        <w:tab w:val="clear" w:pos="8306"/>
      </w:tabs>
      <w:jc w:val="both"/>
    </w:pPr>
    <w:r>
      <w:rPr>
        <w:noProof/>
      </w:rPr>
      <w:drawing>
        <wp:inline distT="0" distB="0" distL="0" distR="0">
          <wp:extent cx="200025" cy="200025"/>
          <wp:effectExtent l="19050" t="0" r="9525" b="0"/>
          <wp:docPr id="5" name="图片 27" descr="校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校徽1"/>
                  <pic:cNvPicPr>
                    <a:picLocks noChangeAspect="1" noChangeArrowheads="1"/>
                  </pic:cNvPicPr>
                </pic:nvPicPr>
                <pic:blipFill>
                  <a:blip r:embed="rId1"/>
                  <a:srcRect/>
                  <a:stretch>
                    <a:fillRect/>
                  </a:stretch>
                </pic:blipFill>
                <pic:spPr bwMode="auto">
                  <a:xfrm>
                    <a:off x="0" y="0"/>
                    <a:ext cx="200025" cy="200025"/>
                  </a:xfrm>
                  <a:prstGeom prst="rect">
                    <a:avLst/>
                  </a:prstGeom>
                  <a:noFill/>
                  <a:ln w="9525" cmpd="sng">
                    <a:noFill/>
                    <a:miter lim="800000"/>
                    <a:headEnd/>
                    <a:tailEnd/>
                  </a:ln>
                </pic:spPr>
              </pic:pic>
            </a:graphicData>
          </a:graphic>
        </wp:inline>
      </w:drawing>
    </w:r>
    <w:r>
      <w:rPr>
        <w:noProof/>
      </w:rPr>
      <w:drawing>
        <wp:inline distT="0" distB="0" distL="0" distR="0">
          <wp:extent cx="1200150" cy="180975"/>
          <wp:effectExtent l="19050" t="0" r="0" b="0"/>
          <wp:docPr id="6" name="图片 2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2"/>
                  <pic:cNvPicPr>
                    <a:picLocks noChangeAspect="1" noChangeArrowheads="1"/>
                  </pic:cNvPicPr>
                </pic:nvPicPr>
                <pic:blipFill>
                  <a:blip r:embed="rId2"/>
                  <a:srcRect/>
                  <a:stretch>
                    <a:fillRect/>
                  </a:stretch>
                </pic:blipFill>
                <pic:spPr bwMode="auto">
                  <a:xfrm>
                    <a:off x="0" y="0"/>
                    <a:ext cx="1200150" cy="180975"/>
                  </a:xfrm>
                  <a:prstGeom prst="rect">
                    <a:avLst/>
                  </a:prstGeom>
                  <a:noFill/>
                  <a:ln w="9525" cmpd="sng">
                    <a:noFill/>
                    <a:miter lim="800000"/>
                    <a:headEnd/>
                    <a:tailEnd/>
                  </a:ln>
                </pic:spPr>
              </pic:pic>
            </a:graphicData>
          </a:graphic>
        </wp:inline>
      </w:drawing>
    </w:r>
    <w:r w:rsidR="009A1129">
      <w:rPr>
        <w:rFonts w:hint="eastAsia"/>
      </w:rPr>
      <w:tab/>
    </w:r>
    <w:r w:rsidR="009A1129">
      <w:rPr>
        <w:rFonts w:hint="eastAsia"/>
      </w:rPr>
      <w:t xml:space="preserve">                                           201</w:t>
    </w:r>
    <w:r w:rsidR="009A1129">
      <w:rPr>
        <w:rFonts w:hint="eastAsia"/>
      </w:rPr>
      <w:t>7</w:t>
    </w:r>
    <w:r w:rsidR="009A1129">
      <w:rPr>
        <w:rFonts w:hint="eastAsia"/>
      </w:rPr>
      <w:t>届毕业生就业质量报告</w:t>
    </w:r>
    <w:r w:rsidR="009A1129">
      <w:t xml:space="preserve"> </w:t>
    </w:r>
  </w:p>
  <w:p w:rsidR="00000000" w:rsidRDefault="009A112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6666D3">
    <w:pPr>
      <w:pStyle w:val="a7"/>
    </w:pPr>
    <w:r>
      <w:rPr>
        <w:noProof/>
      </w:rPr>
      <w:drawing>
        <wp:inline distT="0" distB="0" distL="0" distR="0">
          <wp:extent cx="200025" cy="200025"/>
          <wp:effectExtent l="19050" t="0" r="9525" b="0"/>
          <wp:docPr id="2" name="Picture 27" descr="校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校徽1"/>
                  <pic:cNvPicPr>
                    <a:picLocks noChangeAspect="1" noChangeArrowheads="1"/>
                  </pic:cNvPicPr>
                </pic:nvPicPr>
                <pic:blipFill>
                  <a:blip r:embed="rId1"/>
                  <a:srcRect/>
                  <a:stretch>
                    <a:fillRect/>
                  </a:stretch>
                </pic:blipFill>
                <pic:spPr bwMode="auto">
                  <a:xfrm>
                    <a:off x="0" y="0"/>
                    <a:ext cx="200025" cy="200025"/>
                  </a:xfrm>
                  <a:prstGeom prst="rect">
                    <a:avLst/>
                  </a:prstGeom>
                  <a:noFill/>
                  <a:ln w="9525" cmpd="sng">
                    <a:noFill/>
                    <a:miter lim="800000"/>
                    <a:headEnd/>
                    <a:tailEnd/>
                  </a:ln>
                </pic:spPr>
              </pic:pic>
            </a:graphicData>
          </a:graphic>
        </wp:inline>
      </w:drawing>
    </w:r>
    <w:r>
      <w:rPr>
        <w:noProof/>
      </w:rPr>
      <w:drawing>
        <wp:inline distT="0" distB="0" distL="0" distR="0">
          <wp:extent cx="1200150" cy="180975"/>
          <wp:effectExtent l="19050" t="0" r="0" b="0"/>
          <wp:docPr id="3" name="Picture 2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
                  <pic:cNvPicPr>
                    <a:picLocks noChangeAspect="1" noChangeArrowheads="1"/>
                  </pic:cNvPicPr>
                </pic:nvPicPr>
                <pic:blipFill>
                  <a:blip r:embed="rId2"/>
                  <a:srcRect/>
                  <a:stretch>
                    <a:fillRect/>
                  </a:stretch>
                </pic:blipFill>
                <pic:spPr bwMode="auto">
                  <a:xfrm>
                    <a:off x="0" y="0"/>
                    <a:ext cx="1200150" cy="180975"/>
                  </a:xfrm>
                  <a:prstGeom prst="rect">
                    <a:avLst/>
                  </a:prstGeom>
                  <a:noFill/>
                  <a:ln w="9525" cmpd="sng">
                    <a:noFill/>
                    <a:miter lim="800000"/>
                    <a:headEnd/>
                    <a:tailEnd/>
                  </a:ln>
                </pic:spPr>
              </pic:pic>
            </a:graphicData>
          </a:graphic>
        </wp:inline>
      </w:drawing>
    </w:r>
    <w:r w:rsidR="009A1129">
      <w:rPr>
        <w:rFonts w:hint="eastAsia"/>
      </w:rPr>
      <w:tab/>
    </w:r>
    <w:r w:rsidR="009A1129">
      <w:rPr>
        <w:rFonts w:hint="eastAsia"/>
      </w:rPr>
      <w:t xml:space="preserve">                                          201</w:t>
    </w:r>
    <w:r w:rsidR="009A1129">
      <w:rPr>
        <w:rFonts w:hint="eastAsia"/>
      </w:rPr>
      <w:t>7</w:t>
    </w:r>
    <w:r w:rsidR="009A1129">
      <w:rPr>
        <w:rFonts w:hint="eastAsia"/>
      </w:rPr>
      <w:t>届毕业生就业质量报告</w:t>
    </w:r>
    <w:r w:rsidR="009A1129">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40BA3"/>
    <w:multiLevelType w:val="multilevel"/>
    <w:tmpl w:val="07C40BA3"/>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13874CC2"/>
    <w:multiLevelType w:val="multilevel"/>
    <w:tmpl w:val="13874CC2"/>
    <w:lvl w:ilvl="0">
      <w:start w:val="1"/>
      <w:numFmt w:val="japaneseCounting"/>
      <w:lvlText w:val="（%1）"/>
      <w:lvlJc w:val="left"/>
      <w:pPr>
        <w:ind w:left="1080" w:hanging="1080"/>
      </w:pPr>
      <w:rPr>
        <w:rFonts w:hint="default"/>
      </w:rPr>
    </w:lvl>
    <w:lvl w:ilvl="1">
      <w:start w:val="1"/>
      <w:numFmt w:val="lowerLetter"/>
      <w:lvlText w:val="%2)"/>
      <w:lvlJc w:val="left"/>
      <w:pPr>
        <w:ind w:left="1408" w:hanging="420"/>
      </w:pPr>
    </w:lvl>
    <w:lvl w:ilvl="2">
      <w:start w:val="1"/>
      <w:numFmt w:val="lowerRoman"/>
      <w:lvlText w:val="%3."/>
      <w:lvlJc w:val="right"/>
      <w:pPr>
        <w:ind w:left="1828" w:hanging="420"/>
      </w:pPr>
    </w:lvl>
    <w:lvl w:ilvl="3">
      <w:start w:val="1"/>
      <w:numFmt w:val="decimal"/>
      <w:lvlText w:val="%4."/>
      <w:lvlJc w:val="left"/>
      <w:pPr>
        <w:ind w:left="2248" w:hanging="420"/>
      </w:pPr>
    </w:lvl>
    <w:lvl w:ilvl="4">
      <w:start w:val="1"/>
      <w:numFmt w:val="lowerLetter"/>
      <w:lvlText w:val="%5)"/>
      <w:lvlJc w:val="left"/>
      <w:pPr>
        <w:ind w:left="2668" w:hanging="420"/>
      </w:pPr>
    </w:lvl>
    <w:lvl w:ilvl="5">
      <w:start w:val="1"/>
      <w:numFmt w:val="lowerRoman"/>
      <w:lvlText w:val="%6."/>
      <w:lvlJc w:val="right"/>
      <w:pPr>
        <w:ind w:left="3088" w:hanging="420"/>
      </w:pPr>
    </w:lvl>
    <w:lvl w:ilvl="6">
      <w:start w:val="1"/>
      <w:numFmt w:val="decimal"/>
      <w:lvlText w:val="%7."/>
      <w:lvlJc w:val="left"/>
      <w:pPr>
        <w:ind w:left="3508" w:hanging="420"/>
      </w:pPr>
    </w:lvl>
    <w:lvl w:ilvl="7">
      <w:start w:val="1"/>
      <w:numFmt w:val="lowerLetter"/>
      <w:lvlText w:val="%8)"/>
      <w:lvlJc w:val="left"/>
      <w:pPr>
        <w:ind w:left="3928" w:hanging="420"/>
      </w:pPr>
    </w:lvl>
    <w:lvl w:ilvl="8">
      <w:start w:val="1"/>
      <w:numFmt w:val="lowerRoman"/>
      <w:lvlText w:val="%9."/>
      <w:lvlJc w:val="right"/>
      <w:pPr>
        <w:ind w:left="4348" w:hanging="420"/>
      </w:pPr>
    </w:lvl>
  </w:abstractNum>
  <w:abstractNum w:abstractNumId="2">
    <w:nsid w:val="1E9903CA"/>
    <w:multiLevelType w:val="multilevel"/>
    <w:tmpl w:val="1E9903CA"/>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2868488F"/>
    <w:multiLevelType w:val="multilevel"/>
    <w:tmpl w:val="2868488F"/>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54AEA450"/>
    <w:multiLevelType w:val="singleLevel"/>
    <w:tmpl w:val="54AEA450"/>
    <w:lvl w:ilvl="0">
      <w:start w:val="2"/>
      <w:numFmt w:val="chineseCounting"/>
      <w:suff w:val="nothing"/>
      <w:lvlText w:val="（%1）"/>
      <w:lvlJc w:val="left"/>
    </w:lvl>
  </w:abstractNum>
  <w:abstractNum w:abstractNumId="5">
    <w:nsid w:val="54AEB043"/>
    <w:multiLevelType w:val="singleLevel"/>
    <w:tmpl w:val="54AEB043"/>
    <w:lvl w:ilvl="0">
      <w:start w:val="2"/>
      <w:numFmt w:val="chineseCounting"/>
      <w:suff w:val="nothing"/>
      <w:lvlText w:val="（%1）"/>
      <w:lvlJc w:val="left"/>
    </w:lvl>
  </w:abstractNum>
  <w:abstractNum w:abstractNumId="6">
    <w:nsid w:val="5683945D"/>
    <w:multiLevelType w:val="singleLevel"/>
    <w:tmpl w:val="5683945D"/>
    <w:lvl w:ilvl="0">
      <w:start w:val="2"/>
      <w:numFmt w:val="chineseCounting"/>
      <w:suff w:val="nothing"/>
      <w:lvlText w:val="%1、"/>
      <w:lvlJc w:val="left"/>
    </w:lvl>
  </w:abstractNum>
  <w:num w:numId="1">
    <w:abstractNumId w:val="3"/>
  </w:num>
  <w:num w:numId="2">
    <w:abstractNumId w:val="0"/>
  </w:num>
  <w:num w:numId="3">
    <w:abstractNumId w:val="2"/>
  </w:num>
  <w:num w:numId="4">
    <w:abstractNumId w:val="4"/>
  </w:num>
  <w:num w:numId="5">
    <w:abstractNumId w:val="1"/>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420"/>
  <w:drawingGridHorizontalSpacing w:val="105"/>
  <w:drawingGridVerticalSpacing w:val="156"/>
  <w:noPunctuationKerning/>
  <w:characterSpacingControl w:val="compressPunctuation"/>
  <w:doNotValidateAgainstSchema/>
  <w:doNotDemarcateInvalidXml/>
  <w:hdrShapeDefaults>
    <o:shapedefaults v:ext="edit" spidmax="3094" strokecolor="#739cc3">
      <v:fill angle="90" type="gradient">
        <o:fill v:ext="view" type="gradientUnscaled"/>
      </v:fill>
      <v:stroke color="#739cc3" weight="1.25pt"/>
    </o: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392270"/>
    <w:rsid w:val="000005B2"/>
    <w:rsid w:val="00001706"/>
    <w:rsid w:val="000017E7"/>
    <w:rsid w:val="00001FDE"/>
    <w:rsid w:val="00002470"/>
    <w:rsid w:val="00002B84"/>
    <w:rsid w:val="00002FBC"/>
    <w:rsid w:val="0000331D"/>
    <w:rsid w:val="0000512E"/>
    <w:rsid w:val="00005644"/>
    <w:rsid w:val="00005871"/>
    <w:rsid w:val="00005B27"/>
    <w:rsid w:val="00005BDE"/>
    <w:rsid w:val="000062CD"/>
    <w:rsid w:val="00006F14"/>
    <w:rsid w:val="0000714E"/>
    <w:rsid w:val="00010E86"/>
    <w:rsid w:val="00013203"/>
    <w:rsid w:val="00013C08"/>
    <w:rsid w:val="000140B6"/>
    <w:rsid w:val="00014615"/>
    <w:rsid w:val="0001516A"/>
    <w:rsid w:val="00015299"/>
    <w:rsid w:val="000153AF"/>
    <w:rsid w:val="00016ADE"/>
    <w:rsid w:val="00016D19"/>
    <w:rsid w:val="00017350"/>
    <w:rsid w:val="00017DCC"/>
    <w:rsid w:val="00021B79"/>
    <w:rsid w:val="00021F34"/>
    <w:rsid w:val="00022415"/>
    <w:rsid w:val="000225EE"/>
    <w:rsid w:val="00023A7E"/>
    <w:rsid w:val="0002453F"/>
    <w:rsid w:val="00025217"/>
    <w:rsid w:val="0002787B"/>
    <w:rsid w:val="00027DAA"/>
    <w:rsid w:val="00031D68"/>
    <w:rsid w:val="00031E4D"/>
    <w:rsid w:val="00032D29"/>
    <w:rsid w:val="00033D7E"/>
    <w:rsid w:val="00033DA7"/>
    <w:rsid w:val="00034175"/>
    <w:rsid w:val="000357EF"/>
    <w:rsid w:val="00035DEE"/>
    <w:rsid w:val="00036388"/>
    <w:rsid w:val="00036C4C"/>
    <w:rsid w:val="00040B89"/>
    <w:rsid w:val="00040F95"/>
    <w:rsid w:val="0004151A"/>
    <w:rsid w:val="00041759"/>
    <w:rsid w:val="00041F70"/>
    <w:rsid w:val="00042E61"/>
    <w:rsid w:val="0004360A"/>
    <w:rsid w:val="000441EB"/>
    <w:rsid w:val="00044AA0"/>
    <w:rsid w:val="0004546A"/>
    <w:rsid w:val="0004748D"/>
    <w:rsid w:val="00050B49"/>
    <w:rsid w:val="00050F4A"/>
    <w:rsid w:val="0005145F"/>
    <w:rsid w:val="000524D7"/>
    <w:rsid w:val="00052995"/>
    <w:rsid w:val="00053337"/>
    <w:rsid w:val="00053DE1"/>
    <w:rsid w:val="00053FF1"/>
    <w:rsid w:val="000552DA"/>
    <w:rsid w:val="000554BA"/>
    <w:rsid w:val="00055A41"/>
    <w:rsid w:val="00055A64"/>
    <w:rsid w:val="00055B25"/>
    <w:rsid w:val="00055E6D"/>
    <w:rsid w:val="00055E71"/>
    <w:rsid w:val="000568F7"/>
    <w:rsid w:val="000605DC"/>
    <w:rsid w:val="00060785"/>
    <w:rsid w:val="00061340"/>
    <w:rsid w:val="00061DA3"/>
    <w:rsid w:val="00062396"/>
    <w:rsid w:val="00062516"/>
    <w:rsid w:val="0006339C"/>
    <w:rsid w:val="000636E6"/>
    <w:rsid w:val="000636F7"/>
    <w:rsid w:val="00063A30"/>
    <w:rsid w:val="00064EA8"/>
    <w:rsid w:val="000673DA"/>
    <w:rsid w:val="0007013B"/>
    <w:rsid w:val="00070A22"/>
    <w:rsid w:val="00070BCB"/>
    <w:rsid w:val="00070E26"/>
    <w:rsid w:val="000714FA"/>
    <w:rsid w:val="000725A3"/>
    <w:rsid w:val="0007285A"/>
    <w:rsid w:val="00072B20"/>
    <w:rsid w:val="000731D3"/>
    <w:rsid w:val="000735BA"/>
    <w:rsid w:val="000738A4"/>
    <w:rsid w:val="00081956"/>
    <w:rsid w:val="00081DFB"/>
    <w:rsid w:val="00082506"/>
    <w:rsid w:val="0008290F"/>
    <w:rsid w:val="00082E48"/>
    <w:rsid w:val="00083C98"/>
    <w:rsid w:val="00083D9D"/>
    <w:rsid w:val="0008443F"/>
    <w:rsid w:val="0009051E"/>
    <w:rsid w:val="00090D29"/>
    <w:rsid w:val="000928D8"/>
    <w:rsid w:val="000936D2"/>
    <w:rsid w:val="000953C2"/>
    <w:rsid w:val="00097A1D"/>
    <w:rsid w:val="000A01A2"/>
    <w:rsid w:val="000A0550"/>
    <w:rsid w:val="000A13EB"/>
    <w:rsid w:val="000A1480"/>
    <w:rsid w:val="000A1958"/>
    <w:rsid w:val="000A1C8D"/>
    <w:rsid w:val="000A2802"/>
    <w:rsid w:val="000A2FDF"/>
    <w:rsid w:val="000A33D7"/>
    <w:rsid w:val="000A37BE"/>
    <w:rsid w:val="000A4C4B"/>
    <w:rsid w:val="000A54D6"/>
    <w:rsid w:val="000A6462"/>
    <w:rsid w:val="000A7115"/>
    <w:rsid w:val="000A7708"/>
    <w:rsid w:val="000B11E8"/>
    <w:rsid w:val="000B2EA9"/>
    <w:rsid w:val="000B3C3B"/>
    <w:rsid w:val="000B4202"/>
    <w:rsid w:val="000B43B4"/>
    <w:rsid w:val="000B44A5"/>
    <w:rsid w:val="000B4865"/>
    <w:rsid w:val="000B61A1"/>
    <w:rsid w:val="000B758A"/>
    <w:rsid w:val="000B7D6A"/>
    <w:rsid w:val="000C02BC"/>
    <w:rsid w:val="000C144C"/>
    <w:rsid w:val="000C1FBF"/>
    <w:rsid w:val="000C21BB"/>
    <w:rsid w:val="000C2EBB"/>
    <w:rsid w:val="000C3021"/>
    <w:rsid w:val="000C38F7"/>
    <w:rsid w:val="000C3A23"/>
    <w:rsid w:val="000C42B8"/>
    <w:rsid w:val="000C457F"/>
    <w:rsid w:val="000C47AF"/>
    <w:rsid w:val="000C4D45"/>
    <w:rsid w:val="000C51D8"/>
    <w:rsid w:val="000C5539"/>
    <w:rsid w:val="000C55BA"/>
    <w:rsid w:val="000C56BE"/>
    <w:rsid w:val="000C57E3"/>
    <w:rsid w:val="000C66E3"/>
    <w:rsid w:val="000C6DC6"/>
    <w:rsid w:val="000C6E15"/>
    <w:rsid w:val="000C73D2"/>
    <w:rsid w:val="000D1164"/>
    <w:rsid w:val="000D1487"/>
    <w:rsid w:val="000D1D68"/>
    <w:rsid w:val="000D1F81"/>
    <w:rsid w:val="000D21F1"/>
    <w:rsid w:val="000D24EC"/>
    <w:rsid w:val="000D32BF"/>
    <w:rsid w:val="000D3407"/>
    <w:rsid w:val="000D3BE6"/>
    <w:rsid w:val="000D4A1C"/>
    <w:rsid w:val="000D4C40"/>
    <w:rsid w:val="000D4CAD"/>
    <w:rsid w:val="000D4DE3"/>
    <w:rsid w:val="000D6F66"/>
    <w:rsid w:val="000D7572"/>
    <w:rsid w:val="000D7582"/>
    <w:rsid w:val="000E037A"/>
    <w:rsid w:val="000E0B18"/>
    <w:rsid w:val="000E2CDD"/>
    <w:rsid w:val="000E3A45"/>
    <w:rsid w:val="000E3C38"/>
    <w:rsid w:val="000E4B56"/>
    <w:rsid w:val="000E620B"/>
    <w:rsid w:val="000E7265"/>
    <w:rsid w:val="000E736C"/>
    <w:rsid w:val="000E7DBE"/>
    <w:rsid w:val="000E7FBD"/>
    <w:rsid w:val="000F0C96"/>
    <w:rsid w:val="000F17A6"/>
    <w:rsid w:val="000F1BD8"/>
    <w:rsid w:val="000F1C10"/>
    <w:rsid w:val="000F1E06"/>
    <w:rsid w:val="000F223E"/>
    <w:rsid w:val="000F2481"/>
    <w:rsid w:val="000F2E27"/>
    <w:rsid w:val="000F416A"/>
    <w:rsid w:val="000F4586"/>
    <w:rsid w:val="000F558C"/>
    <w:rsid w:val="000F5836"/>
    <w:rsid w:val="000F5E43"/>
    <w:rsid w:val="000F5FFE"/>
    <w:rsid w:val="000F6572"/>
    <w:rsid w:val="000F6AC8"/>
    <w:rsid w:val="000F7500"/>
    <w:rsid w:val="000F7EA3"/>
    <w:rsid w:val="00101D9C"/>
    <w:rsid w:val="001027C6"/>
    <w:rsid w:val="001031C2"/>
    <w:rsid w:val="00104E15"/>
    <w:rsid w:val="00105255"/>
    <w:rsid w:val="001063EA"/>
    <w:rsid w:val="00106F9E"/>
    <w:rsid w:val="001072EC"/>
    <w:rsid w:val="001158D5"/>
    <w:rsid w:val="00115956"/>
    <w:rsid w:val="00115E78"/>
    <w:rsid w:val="001162E3"/>
    <w:rsid w:val="001167AB"/>
    <w:rsid w:val="001175F3"/>
    <w:rsid w:val="0011788A"/>
    <w:rsid w:val="0011789C"/>
    <w:rsid w:val="0012067A"/>
    <w:rsid w:val="001215CE"/>
    <w:rsid w:val="00121BB3"/>
    <w:rsid w:val="00121CFD"/>
    <w:rsid w:val="00123BC8"/>
    <w:rsid w:val="00123CFE"/>
    <w:rsid w:val="0012474F"/>
    <w:rsid w:val="0012490E"/>
    <w:rsid w:val="00124ABD"/>
    <w:rsid w:val="00127DC0"/>
    <w:rsid w:val="001305FD"/>
    <w:rsid w:val="001307D4"/>
    <w:rsid w:val="00131C4E"/>
    <w:rsid w:val="00132A5A"/>
    <w:rsid w:val="001330CB"/>
    <w:rsid w:val="00133163"/>
    <w:rsid w:val="00133964"/>
    <w:rsid w:val="00133CA1"/>
    <w:rsid w:val="00134815"/>
    <w:rsid w:val="00134DB8"/>
    <w:rsid w:val="001355F8"/>
    <w:rsid w:val="001371F4"/>
    <w:rsid w:val="00137BA6"/>
    <w:rsid w:val="00140420"/>
    <w:rsid w:val="001404E7"/>
    <w:rsid w:val="00141D96"/>
    <w:rsid w:val="001422BD"/>
    <w:rsid w:val="0014294D"/>
    <w:rsid w:val="00142BB3"/>
    <w:rsid w:val="00142BE4"/>
    <w:rsid w:val="001435E4"/>
    <w:rsid w:val="00145539"/>
    <w:rsid w:val="00146BF7"/>
    <w:rsid w:val="001470CD"/>
    <w:rsid w:val="00147AE7"/>
    <w:rsid w:val="00147F32"/>
    <w:rsid w:val="0015120C"/>
    <w:rsid w:val="00151506"/>
    <w:rsid w:val="001516C7"/>
    <w:rsid w:val="001518E5"/>
    <w:rsid w:val="001538E6"/>
    <w:rsid w:val="001541E1"/>
    <w:rsid w:val="00155004"/>
    <w:rsid w:val="00155035"/>
    <w:rsid w:val="00155D47"/>
    <w:rsid w:val="0015717D"/>
    <w:rsid w:val="00157E9A"/>
    <w:rsid w:val="00160B99"/>
    <w:rsid w:val="0016234E"/>
    <w:rsid w:val="001623D1"/>
    <w:rsid w:val="001627AF"/>
    <w:rsid w:val="001629CB"/>
    <w:rsid w:val="001634D6"/>
    <w:rsid w:val="00163AE3"/>
    <w:rsid w:val="00163D62"/>
    <w:rsid w:val="00165B35"/>
    <w:rsid w:val="0016678F"/>
    <w:rsid w:val="001668A5"/>
    <w:rsid w:val="00166E25"/>
    <w:rsid w:val="00167D85"/>
    <w:rsid w:val="00170853"/>
    <w:rsid w:val="00170BDF"/>
    <w:rsid w:val="00170CEC"/>
    <w:rsid w:val="00171BD3"/>
    <w:rsid w:val="00172C40"/>
    <w:rsid w:val="001740F9"/>
    <w:rsid w:val="001751AF"/>
    <w:rsid w:val="001757A8"/>
    <w:rsid w:val="00175E0D"/>
    <w:rsid w:val="00177103"/>
    <w:rsid w:val="00177622"/>
    <w:rsid w:val="00177A4B"/>
    <w:rsid w:val="00180119"/>
    <w:rsid w:val="00180F82"/>
    <w:rsid w:val="00181897"/>
    <w:rsid w:val="00181A54"/>
    <w:rsid w:val="00182AD7"/>
    <w:rsid w:val="001834C8"/>
    <w:rsid w:val="00183557"/>
    <w:rsid w:val="00183A50"/>
    <w:rsid w:val="00183CAD"/>
    <w:rsid w:val="00184211"/>
    <w:rsid w:val="001848C5"/>
    <w:rsid w:val="00185242"/>
    <w:rsid w:val="001861FD"/>
    <w:rsid w:val="0018639B"/>
    <w:rsid w:val="00191A77"/>
    <w:rsid w:val="00193F94"/>
    <w:rsid w:val="00195535"/>
    <w:rsid w:val="001964EF"/>
    <w:rsid w:val="001969FB"/>
    <w:rsid w:val="00196AC0"/>
    <w:rsid w:val="001970E7"/>
    <w:rsid w:val="00197ABF"/>
    <w:rsid w:val="00197C27"/>
    <w:rsid w:val="001A09A0"/>
    <w:rsid w:val="001A0A7A"/>
    <w:rsid w:val="001A3517"/>
    <w:rsid w:val="001A351C"/>
    <w:rsid w:val="001A370F"/>
    <w:rsid w:val="001A44B6"/>
    <w:rsid w:val="001A4D23"/>
    <w:rsid w:val="001A64DF"/>
    <w:rsid w:val="001A685F"/>
    <w:rsid w:val="001A7289"/>
    <w:rsid w:val="001A7CC5"/>
    <w:rsid w:val="001B057B"/>
    <w:rsid w:val="001B0B54"/>
    <w:rsid w:val="001B2083"/>
    <w:rsid w:val="001B3CB4"/>
    <w:rsid w:val="001B450A"/>
    <w:rsid w:val="001B48AA"/>
    <w:rsid w:val="001B615E"/>
    <w:rsid w:val="001B62AA"/>
    <w:rsid w:val="001B6666"/>
    <w:rsid w:val="001B680D"/>
    <w:rsid w:val="001B6C0C"/>
    <w:rsid w:val="001B6C76"/>
    <w:rsid w:val="001B730A"/>
    <w:rsid w:val="001C15FE"/>
    <w:rsid w:val="001C1945"/>
    <w:rsid w:val="001C25BA"/>
    <w:rsid w:val="001C3598"/>
    <w:rsid w:val="001C3CC8"/>
    <w:rsid w:val="001C3FDC"/>
    <w:rsid w:val="001C4C60"/>
    <w:rsid w:val="001C5E20"/>
    <w:rsid w:val="001C5FE8"/>
    <w:rsid w:val="001C624D"/>
    <w:rsid w:val="001C730A"/>
    <w:rsid w:val="001C79FE"/>
    <w:rsid w:val="001D00A8"/>
    <w:rsid w:val="001D0779"/>
    <w:rsid w:val="001D0F92"/>
    <w:rsid w:val="001D2DC4"/>
    <w:rsid w:val="001D2FB1"/>
    <w:rsid w:val="001D3049"/>
    <w:rsid w:val="001D33EF"/>
    <w:rsid w:val="001D3A10"/>
    <w:rsid w:val="001D3BB2"/>
    <w:rsid w:val="001D4587"/>
    <w:rsid w:val="001D4CA1"/>
    <w:rsid w:val="001D54AD"/>
    <w:rsid w:val="001D5DE1"/>
    <w:rsid w:val="001D63F8"/>
    <w:rsid w:val="001D7096"/>
    <w:rsid w:val="001D70BF"/>
    <w:rsid w:val="001D7293"/>
    <w:rsid w:val="001D74E1"/>
    <w:rsid w:val="001E05C7"/>
    <w:rsid w:val="001E0E84"/>
    <w:rsid w:val="001E1282"/>
    <w:rsid w:val="001E1373"/>
    <w:rsid w:val="001E16C8"/>
    <w:rsid w:val="001E1847"/>
    <w:rsid w:val="001E24A2"/>
    <w:rsid w:val="001E33DF"/>
    <w:rsid w:val="001E4A08"/>
    <w:rsid w:val="001E4B5E"/>
    <w:rsid w:val="001E4E15"/>
    <w:rsid w:val="001E5195"/>
    <w:rsid w:val="001E5ED9"/>
    <w:rsid w:val="001E6D8F"/>
    <w:rsid w:val="001E75C5"/>
    <w:rsid w:val="001F124A"/>
    <w:rsid w:val="001F16B9"/>
    <w:rsid w:val="001F16DE"/>
    <w:rsid w:val="001F1C40"/>
    <w:rsid w:val="001F2D75"/>
    <w:rsid w:val="001F38D3"/>
    <w:rsid w:val="001F418B"/>
    <w:rsid w:val="001F429E"/>
    <w:rsid w:val="001F4590"/>
    <w:rsid w:val="001F4D15"/>
    <w:rsid w:val="001F4D90"/>
    <w:rsid w:val="001F5A2D"/>
    <w:rsid w:val="001F5CB6"/>
    <w:rsid w:val="001F60BF"/>
    <w:rsid w:val="001F656E"/>
    <w:rsid w:val="001F66F8"/>
    <w:rsid w:val="001F679B"/>
    <w:rsid w:val="001F68AB"/>
    <w:rsid w:val="001F6953"/>
    <w:rsid w:val="001F773E"/>
    <w:rsid w:val="001F780E"/>
    <w:rsid w:val="002001C2"/>
    <w:rsid w:val="002003FC"/>
    <w:rsid w:val="0020091A"/>
    <w:rsid w:val="00200D13"/>
    <w:rsid w:val="002019AA"/>
    <w:rsid w:val="00201AEE"/>
    <w:rsid w:val="00201C11"/>
    <w:rsid w:val="002024EA"/>
    <w:rsid w:val="00203112"/>
    <w:rsid w:val="00203697"/>
    <w:rsid w:val="002042C4"/>
    <w:rsid w:val="002048CA"/>
    <w:rsid w:val="00204F53"/>
    <w:rsid w:val="00205615"/>
    <w:rsid w:val="002062AA"/>
    <w:rsid w:val="0020636C"/>
    <w:rsid w:val="00206E12"/>
    <w:rsid w:val="002073E0"/>
    <w:rsid w:val="00207B6F"/>
    <w:rsid w:val="00210E54"/>
    <w:rsid w:val="00211057"/>
    <w:rsid w:val="00211B68"/>
    <w:rsid w:val="0021246B"/>
    <w:rsid w:val="00213334"/>
    <w:rsid w:val="0021404B"/>
    <w:rsid w:val="0021420F"/>
    <w:rsid w:val="00214566"/>
    <w:rsid w:val="0021497C"/>
    <w:rsid w:val="002149E2"/>
    <w:rsid w:val="002154E8"/>
    <w:rsid w:val="00215839"/>
    <w:rsid w:val="002161BB"/>
    <w:rsid w:val="00217686"/>
    <w:rsid w:val="002176B2"/>
    <w:rsid w:val="00221355"/>
    <w:rsid w:val="002216E7"/>
    <w:rsid w:val="002220CE"/>
    <w:rsid w:val="00222434"/>
    <w:rsid w:val="002244DE"/>
    <w:rsid w:val="00224AF7"/>
    <w:rsid w:val="00226755"/>
    <w:rsid w:val="002278FB"/>
    <w:rsid w:val="002307EC"/>
    <w:rsid w:val="00230848"/>
    <w:rsid w:val="00231A82"/>
    <w:rsid w:val="00231DBE"/>
    <w:rsid w:val="00233E57"/>
    <w:rsid w:val="00234505"/>
    <w:rsid w:val="00234774"/>
    <w:rsid w:val="00234C55"/>
    <w:rsid w:val="002353D8"/>
    <w:rsid w:val="002369E8"/>
    <w:rsid w:val="00236DAB"/>
    <w:rsid w:val="00237441"/>
    <w:rsid w:val="002402CB"/>
    <w:rsid w:val="002418F1"/>
    <w:rsid w:val="0024229C"/>
    <w:rsid w:val="00242762"/>
    <w:rsid w:val="00243613"/>
    <w:rsid w:val="00243751"/>
    <w:rsid w:val="00244094"/>
    <w:rsid w:val="0024490C"/>
    <w:rsid w:val="002454D9"/>
    <w:rsid w:val="00245502"/>
    <w:rsid w:val="00245B12"/>
    <w:rsid w:val="0024751D"/>
    <w:rsid w:val="00247CCC"/>
    <w:rsid w:val="00247E79"/>
    <w:rsid w:val="00251082"/>
    <w:rsid w:val="00251F60"/>
    <w:rsid w:val="00252FCA"/>
    <w:rsid w:val="00253713"/>
    <w:rsid w:val="002539F1"/>
    <w:rsid w:val="00253DD1"/>
    <w:rsid w:val="00254652"/>
    <w:rsid w:val="00254828"/>
    <w:rsid w:val="00254EDA"/>
    <w:rsid w:val="00255649"/>
    <w:rsid w:val="00256645"/>
    <w:rsid w:val="00257073"/>
    <w:rsid w:val="00257BF5"/>
    <w:rsid w:val="0026005B"/>
    <w:rsid w:val="00260961"/>
    <w:rsid w:val="00261F89"/>
    <w:rsid w:val="00262F27"/>
    <w:rsid w:val="002637A0"/>
    <w:rsid w:val="002642EF"/>
    <w:rsid w:val="0026539B"/>
    <w:rsid w:val="00266090"/>
    <w:rsid w:val="00266B27"/>
    <w:rsid w:val="00266E90"/>
    <w:rsid w:val="00267468"/>
    <w:rsid w:val="00271A5E"/>
    <w:rsid w:val="00271EA2"/>
    <w:rsid w:val="00273CCD"/>
    <w:rsid w:val="00273D5A"/>
    <w:rsid w:val="00273F04"/>
    <w:rsid w:val="0027451E"/>
    <w:rsid w:val="00275D16"/>
    <w:rsid w:val="00275E1D"/>
    <w:rsid w:val="002763C6"/>
    <w:rsid w:val="00276D50"/>
    <w:rsid w:val="002774F9"/>
    <w:rsid w:val="002778A8"/>
    <w:rsid w:val="00277AB7"/>
    <w:rsid w:val="0028063B"/>
    <w:rsid w:val="002806CA"/>
    <w:rsid w:val="0028149D"/>
    <w:rsid w:val="00282D60"/>
    <w:rsid w:val="00283D66"/>
    <w:rsid w:val="002840E9"/>
    <w:rsid w:val="002843F2"/>
    <w:rsid w:val="002847B3"/>
    <w:rsid w:val="00285061"/>
    <w:rsid w:val="002850A7"/>
    <w:rsid w:val="00287C52"/>
    <w:rsid w:val="00290F79"/>
    <w:rsid w:val="002917A1"/>
    <w:rsid w:val="002933D5"/>
    <w:rsid w:val="00293B2C"/>
    <w:rsid w:val="00293B74"/>
    <w:rsid w:val="002942B9"/>
    <w:rsid w:val="002948A5"/>
    <w:rsid w:val="00294957"/>
    <w:rsid w:val="002950B2"/>
    <w:rsid w:val="0029524C"/>
    <w:rsid w:val="00295CE1"/>
    <w:rsid w:val="002962CC"/>
    <w:rsid w:val="0029707C"/>
    <w:rsid w:val="00297C43"/>
    <w:rsid w:val="00297C89"/>
    <w:rsid w:val="00297C98"/>
    <w:rsid w:val="00297D55"/>
    <w:rsid w:val="002A091A"/>
    <w:rsid w:val="002A112D"/>
    <w:rsid w:val="002A1303"/>
    <w:rsid w:val="002A161B"/>
    <w:rsid w:val="002A227E"/>
    <w:rsid w:val="002A345F"/>
    <w:rsid w:val="002A3586"/>
    <w:rsid w:val="002A3893"/>
    <w:rsid w:val="002A416B"/>
    <w:rsid w:val="002A494F"/>
    <w:rsid w:val="002A4E2D"/>
    <w:rsid w:val="002A5520"/>
    <w:rsid w:val="002A55B3"/>
    <w:rsid w:val="002A736A"/>
    <w:rsid w:val="002A783D"/>
    <w:rsid w:val="002A783E"/>
    <w:rsid w:val="002A79DB"/>
    <w:rsid w:val="002B0459"/>
    <w:rsid w:val="002B06CF"/>
    <w:rsid w:val="002B1281"/>
    <w:rsid w:val="002B2276"/>
    <w:rsid w:val="002B3756"/>
    <w:rsid w:val="002B53AD"/>
    <w:rsid w:val="002B561C"/>
    <w:rsid w:val="002B57B2"/>
    <w:rsid w:val="002B5ACA"/>
    <w:rsid w:val="002B67B1"/>
    <w:rsid w:val="002B6DD1"/>
    <w:rsid w:val="002C08C9"/>
    <w:rsid w:val="002C0D6B"/>
    <w:rsid w:val="002C101F"/>
    <w:rsid w:val="002C1670"/>
    <w:rsid w:val="002C350C"/>
    <w:rsid w:val="002C37BD"/>
    <w:rsid w:val="002C3DD3"/>
    <w:rsid w:val="002C46BF"/>
    <w:rsid w:val="002C55C0"/>
    <w:rsid w:val="002C5727"/>
    <w:rsid w:val="002C57B0"/>
    <w:rsid w:val="002C5BFA"/>
    <w:rsid w:val="002C5EA5"/>
    <w:rsid w:val="002C6673"/>
    <w:rsid w:val="002C771C"/>
    <w:rsid w:val="002C7B42"/>
    <w:rsid w:val="002D08F0"/>
    <w:rsid w:val="002D117D"/>
    <w:rsid w:val="002D19D1"/>
    <w:rsid w:val="002D2565"/>
    <w:rsid w:val="002D27DE"/>
    <w:rsid w:val="002D29FE"/>
    <w:rsid w:val="002D3B49"/>
    <w:rsid w:val="002D4659"/>
    <w:rsid w:val="002D4851"/>
    <w:rsid w:val="002D4D0A"/>
    <w:rsid w:val="002D64CB"/>
    <w:rsid w:val="002D686C"/>
    <w:rsid w:val="002D69AA"/>
    <w:rsid w:val="002D732F"/>
    <w:rsid w:val="002E017D"/>
    <w:rsid w:val="002E0181"/>
    <w:rsid w:val="002E0473"/>
    <w:rsid w:val="002E07A9"/>
    <w:rsid w:val="002E0F21"/>
    <w:rsid w:val="002E1E4B"/>
    <w:rsid w:val="002E1FB2"/>
    <w:rsid w:val="002E31B9"/>
    <w:rsid w:val="002E3739"/>
    <w:rsid w:val="002E6107"/>
    <w:rsid w:val="002E7311"/>
    <w:rsid w:val="002F13C7"/>
    <w:rsid w:val="002F2215"/>
    <w:rsid w:val="002F254A"/>
    <w:rsid w:val="002F270C"/>
    <w:rsid w:val="002F3A42"/>
    <w:rsid w:val="002F3C72"/>
    <w:rsid w:val="002F405F"/>
    <w:rsid w:val="002F4D53"/>
    <w:rsid w:val="002F50DB"/>
    <w:rsid w:val="002F5247"/>
    <w:rsid w:val="002F5B7F"/>
    <w:rsid w:val="002F6455"/>
    <w:rsid w:val="002F66CD"/>
    <w:rsid w:val="002F6E01"/>
    <w:rsid w:val="003004E3"/>
    <w:rsid w:val="00300C59"/>
    <w:rsid w:val="00300F4D"/>
    <w:rsid w:val="0030182D"/>
    <w:rsid w:val="00301CC9"/>
    <w:rsid w:val="00302238"/>
    <w:rsid w:val="00302529"/>
    <w:rsid w:val="00302748"/>
    <w:rsid w:val="00302D7E"/>
    <w:rsid w:val="00303267"/>
    <w:rsid w:val="00303871"/>
    <w:rsid w:val="00303BBD"/>
    <w:rsid w:val="0030538B"/>
    <w:rsid w:val="003053A8"/>
    <w:rsid w:val="003057CC"/>
    <w:rsid w:val="00306BF7"/>
    <w:rsid w:val="0031000C"/>
    <w:rsid w:val="00313476"/>
    <w:rsid w:val="00313B0A"/>
    <w:rsid w:val="00314179"/>
    <w:rsid w:val="003143EB"/>
    <w:rsid w:val="00314984"/>
    <w:rsid w:val="0031597E"/>
    <w:rsid w:val="00316B7A"/>
    <w:rsid w:val="00317A4E"/>
    <w:rsid w:val="00321969"/>
    <w:rsid w:val="00321BFD"/>
    <w:rsid w:val="00322544"/>
    <w:rsid w:val="003225D8"/>
    <w:rsid w:val="003234B2"/>
    <w:rsid w:val="00323C8A"/>
    <w:rsid w:val="003249E4"/>
    <w:rsid w:val="00325034"/>
    <w:rsid w:val="003251FB"/>
    <w:rsid w:val="00325E2C"/>
    <w:rsid w:val="00326639"/>
    <w:rsid w:val="00327415"/>
    <w:rsid w:val="0033022A"/>
    <w:rsid w:val="003303E3"/>
    <w:rsid w:val="003306F9"/>
    <w:rsid w:val="003309D1"/>
    <w:rsid w:val="00331349"/>
    <w:rsid w:val="0033257A"/>
    <w:rsid w:val="003334DE"/>
    <w:rsid w:val="003339C7"/>
    <w:rsid w:val="00334117"/>
    <w:rsid w:val="00335590"/>
    <w:rsid w:val="00335A10"/>
    <w:rsid w:val="00335D15"/>
    <w:rsid w:val="00335F70"/>
    <w:rsid w:val="0033614D"/>
    <w:rsid w:val="00336157"/>
    <w:rsid w:val="00336207"/>
    <w:rsid w:val="00336670"/>
    <w:rsid w:val="00336821"/>
    <w:rsid w:val="00336E21"/>
    <w:rsid w:val="00337024"/>
    <w:rsid w:val="0034029D"/>
    <w:rsid w:val="00340971"/>
    <w:rsid w:val="003410B4"/>
    <w:rsid w:val="00342B0B"/>
    <w:rsid w:val="003433C4"/>
    <w:rsid w:val="0034374B"/>
    <w:rsid w:val="00343AC6"/>
    <w:rsid w:val="0034419F"/>
    <w:rsid w:val="0034478A"/>
    <w:rsid w:val="0034482F"/>
    <w:rsid w:val="00345292"/>
    <w:rsid w:val="00345401"/>
    <w:rsid w:val="00345902"/>
    <w:rsid w:val="0034729B"/>
    <w:rsid w:val="00347473"/>
    <w:rsid w:val="00347816"/>
    <w:rsid w:val="00350501"/>
    <w:rsid w:val="0035110B"/>
    <w:rsid w:val="0035158F"/>
    <w:rsid w:val="00351776"/>
    <w:rsid w:val="00351E87"/>
    <w:rsid w:val="0035220B"/>
    <w:rsid w:val="0035233A"/>
    <w:rsid w:val="00354DCC"/>
    <w:rsid w:val="00354FC9"/>
    <w:rsid w:val="0035648C"/>
    <w:rsid w:val="003577F0"/>
    <w:rsid w:val="003578DB"/>
    <w:rsid w:val="00357BD2"/>
    <w:rsid w:val="00360A30"/>
    <w:rsid w:val="003619EC"/>
    <w:rsid w:val="003639C8"/>
    <w:rsid w:val="00363BEA"/>
    <w:rsid w:val="00364122"/>
    <w:rsid w:val="003649B4"/>
    <w:rsid w:val="00364AF8"/>
    <w:rsid w:val="00365CA9"/>
    <w:rsid w:val="003660B4"/>
    <w:rsid w:val="003663F5"/>
    <w:rsid w:val="0036659E"/>
    <w:rsid w:val="00366BD5"/>
    <w:rsid w:val="00367EE2"/>
    <w:rsid w:val="0037004F"/>
    <w:rsid w:val="0037032C"/>
    <w:rsid w:val="00372733"/>
    <w:rsid w:val="00372DE8"/>
    <w:rsid w:val="00373074"/>
    <w:rsid w:val="00373C03"/>
    <w:rsid w:val="00374525"/>
    <w:rsid w:val="0037575F"/>
    <w:rsid w:val="00377228"/>
    <w:rsid w:val="003779B9"/>
    <w:rsid w:val="003820DF"/>
    <w:rsid w:val="00383983"/>
    <w:rsid w:val="003849F6"/>
    <w:rsid w:val="00384A26"/>
    <w:rsid w:val="00384B4E"/>
    <w:rsid w:val="00385737"/>
    <w:rsid w:val="0038707A"/>
    <w:rsid w:val="003871D2"/>
    <w:rsid w:val="00387D1A"/>
    <w:rsid w:val="00387E45"/>
    <w:rsid w:val="0039032B"/>
    <w:rsid w:val="0039178D"/>
    <w:rsid w:val="0039218B"/>
    <w:rsid w:val="00392270"/>
    <w:rsid w:val="0039290E"/>
    <w:rsid w:val="003931AA"/>
    <w:rsid w:val="00393224"/>
    <w:rsid w:val="00393512"/>
    <w:rsid w:val="00393FE3"/>
    <w:rsid w:val="003945FC"/>
    <w:rsid w:val="00395F52"/>
    <w:rsid w:val="00395F77"/>
    <w:rsid w:val="00396D1F"/>
    <w:rsid w:val="00397E0F"/>
    <w:rsid w:val="003A0BC4"/>
    <w:rsid w:val="003A180B"/>
    <w:rsid w:val="003A2735"/>
    <w:rsid w:val="003A28F6"/>
    <w:rsid w:val="003A2F3F"/>
    <w:rsid w:val="003A3682"/>
    <w:rsid w:val="003A36B5"/>
    <w:rsid w:val="003A5499"/>
    <w:rsid w:val="003A5BCC"/>
    <w:rsid w:val="003A5F07"/>
    <w:rsid w:val="003A6A84"/>
    <w:rsid w:val="003B012A"/>
    <w:rsid w:val="003B0A39"/>
    <w:rsid w:val="003B129E"/>
    <w:rsid w:val="003B1D6A"/>
    <w:rsid w:val="003B2267"/>
    <w:rsid w:val="003B22C2"/>
    <w:rsid w:val="003B2BE7"/>
    <w:rsid w:val="003B2BF5"/>
    <w:rsid w:val="003B3A42"/>
    <w:rsid w:val="003B3A83"/>
    <w:rsid w:val="003B40CA"/>
    <w:rsid w:val="003B42EA"/>
    <w:rsid w:val="003B496B"/>
    <w:rsid w:val="003B4A2C"/>
    <w:rsid w:val="003B4EF1"/>
    <w:rsid w:val="003B5624"/>
    <w:rsid w:val="003B6021"/>
    <w:rsid w:val="003B66F5"/>
    <w:rsid w:val="003B6A24"/>
    <w:rsid w:val="003B6F9B"/>
    <w:rsid w:val="003B70FC"/>
    <w:rsid w:val="003B7B89"/>
    <w:rsid w:val="003B7E3D"/>
    <w:rsid w:val="003C0308"/>
    <w:rsid w:val="003C06A2"/>
    <w:rsid w:val="003C07BC"/>
    <w:rsid w:val="003C0EDB"/>
    <w:rsid w:val="003C14B1"/>
    <w:rsid w:val="003C1816"/>
    <w:rsid w:val="003C21ED"/>
    <w:rsid w:val="003C26E8"/>
    <w:rsid w:val="003C45BB"/>
    <w:rsid w:val="003C5BA8"/>
    <w:rsid w:val="003C7AD7"/>
    <w:rsid w:val="003D054C"/>
    <w:rsid w:val="003D0ABA"/>
    <w:rsid w:val="003D0B75"/>
    <w:rsid w:val="003D23E0"/>
    <w:rsid w:val="003D3128"/>
    <w:rsid w:val="003D31EB"/>
    <w:rsid w:val="003D37FD"/>
    <w:rsid w:val="003D3B3A"/>
    <w:rsid w:val="003D3E4B"/>
    <w:rsid w:val="003D3ED7"/>
    <w:rsid w:val="003D423A"/>
    <w:rsid w:val="003D4C75"/>
    <w:rsid w:val="003D6231"/>
    <w:rsid w:val="003D7270"/>
    <w:rsid w:val="003D76CF"/>
    <w:rsid w:val="003E0F4F"/>
    <w:rsid w:val="003E1F1F"/>
    <w:rsid w:val="003E2B7E"/>
    <w:rsid w:val="003E3B60"/>
    <w:rsid w:val="003E3B70"/>
    <w:rsid w:val="003E3D58"/>
    <w:rsid w:val="003E41A3"/>
    <w:rsid w:val="003E5A53"/>
    <w:rsid w:val="003E5C13"/>
    <w:rsid w:val="003E5E82"/>
    <w:rsid w:val="003E632C"/>
    <w:rsid w:val="003E664D"/>
    <w:rsid w:val="003E6A21"/>
    <w:rsid w:val="003E6D1E"/>
    <w:rsid w:val="003E7081"/>
    <w:rsid w:val="003E7353"/>
    <w:rsid w:val="003F10B0"/>
    <w:rsid w:val="003F1B27"/>
    <w:rsid w:val="003F1F7A"/>
    <w:rsid w:val="003F21C6"/>
    <w:rsid w:val="003F2345"/>
    <w:rsid w:val="003F26D1"/>
    <w:rsid w:val="003F49D0"/>
    <w:rsid w:val="003F4DE0"/>
    <w:rsid w:val="003F53CB"/>
    <w:rsid w:val="003F6777"/>
    <w:rsid w:val="003F6C8A"/>
    <w:rsid w:val="003F7475"/>
    <w:rsid w:val="004008A2"/>
    <w:rsid w:val="0040103D"/>
    <w:rsid w:val="00401176"/>
    <w:rsid w:val="00401327"/>
    <w:rsid w:val="0040251C"/>
    <w:rsid w:val="00403F32"/>
    <w:rsid w:val="00404316"/>
    <w:rsid w:val="0040431B"/>
    <w:rsid w:val="00404978"/>
    <w:rsid w:val="0040500C"/>
    <w:rsid w:val="004052DF"/>
    <w:rsid w:val="00405B57"/>
    <w:rsid w:val="00406258"/>
    <w:rsid w:val="004066E3"/>
    <w:rsid w:val="00406EA9"/>
    <w:rsid w:val="00410430"/>
    <w:rsid w:val="00410761"/>
    <w:rsid w:val="00410D9F"/>
    <w:rsid w:val="0041346A"/>
    <w:rsid w:val="00413E0A"/>
    <w:rsid w:val="00414600"/>
    <w:rsid w:val="004151E9"/>
    <w:rsid w:val="00415768"/>
    <w:rsid w:val="00415BEA"/>
    <w:rsid w:val="00415C56"/>
    <w:rsid w:val="00416FDD"/>
    <w:rsid w:val="004172D5"/>
    <w:rsid w:val="004173EB"/>
    <w:rsid w:val="00420289"/>
    <w:rsid w:val="004213BD"/>
    <w:rsid w:val="004213D3"/>
    <w:rsid w:val="004216AA"/>
    <w:rsid w:val="00422349"/>
    <w:rsid w:val="0042243C"/>
    <w:rsid w:val="00422EB9"/>
    <w:rsid w:val="0042375F"/>
    <w:rsid w:val="00423F51"/>
    <w:rsid w:val="00424AAF"/>
    <w:rsid w:val="0042542C"/>
    <w:rsid w:val="00425574"/>
    <w:rsid w:val="00425EE9"/>
    <w:rsid w:val="00427809"/>
    <w:rsid w:val="00427AD9"/>
    <w:rsid w:val="00427C7C"/>
    <w:rsid w:val="00427D03"/>
    <w:rsid w:val="00430130"/>
    <w:rsid w:val="0043181C"/>
    <w:rsid w:val="004318C4"/>
    <w:rsid w:val="00431A4F"/>
    <w:rsid w:val="0043242E"/>
    <w:rsid w:val="00433DC2"/>
    <w:rsid w:val="00433FB9"/>
    <w:rsid w:val="00434074"/>
    <w:rsid w:val="0043427C"/>
    <w:rsid w:val="00434298"/>
    <w:rsid w:val="00434458"/>
    <w:rsid w:val="00434581"/>
    <w:rsid w:val="004354E9"/>
    <w:rsid w:val="004356F2"/>
    <w:rsid w:val="00436BF9"/>
    <w:rsid w:val="00436E46"/>
    <w:rsid w:val="004376BB"/>
    <w:rsid w:val="00440200"/>
    <w:rsid w:val="00440D51"/>
    <w:rsid w:val="00440E2B"/>
    <w:rsid w:val="00441CE2"/>
    <w:rsid w:val="00441E23"/>
    <w:rsid w:val="00442F7D"/>
    <w:rsid w:val="00443011"/>
    <w:rsid w:val="00443459"/>
    <w:rsid w:val="004447E2"/>
    <w:rsid w:val="00444D98"/>
    <w:rsid w:val="00446253"/>
    <w:rsid w:val="00446607"/>
    <w:rsid w:val="0044749A"/>
    <w:rsid w:val="00447D1F"/>
    <w:rsid w:val="00447E11"/>
    <w:rsid w:val="004503DC"/>
    <w:rsid w:val="00451FEC"/>
    <w:rsid w:val="004523A2"/>
    <w:rsid w:val="00453907"/>
    <w:rsid w:val="004546E3"/>
    <w:rsid w:val="00456E1A"/>
    <w:rsid w:val="004572F9"/>
    <w:rsid w:val="00457ADB"/>
    <w:rsid w:val="0046003C"/>
    <w:rsid w:val="004600F6"/>
    <w:rsid w:val="00461F02"/>
    <w:rsid w:val="0046387E"/>
    <w:rsid w:val="00463DC3"/>
    <w:rsid w:val="00464037"/>
    <w:rsid w:val="00464C2B"/>
    <w:rsid w:val="004652D6"/>
    <w:rsid w:val="00465F87"/>
    <w:rsid w:val="00467DF9"/>
    <w:rsid w:val="00471251"/>
    <w:rsid w:val="0047152E"/>
    <w:rsid w:val="00471654"/>
    <w:rsid w:val="0047188F"/>
    <w:rsid w:val="0047326C"/>
    <w:rsid w:val="004740C7"/>
    <w:rsid w:val="00474550"/>
    <w:rsid w:val="0047467B"/>
    <w:rsid w:val="00474D31"/>
    <w:rsid w:val="004750F9"/>
    <w:rsid w:val="00475BCF"/>
    <w:rsid w:val="00475DF9"/>
    <w:rsid w:val="00476215"/>
    <w:rsid w:val="00476B7C"/>
    <w:rsid w:val="004776E0"/>
    <w:rsid w:val="0047793A"/>
    <w:rsid w:val="00480605"/>
    <w:rsid w:val="00480BB3"/>
    <w:rsid w:val="00482857"/>
    <w:rsid w:val="0048361A"/>
    <w:rsid w:val="00483E59"/>
    <w:rsid w:val="00483E7B"/>
    <w:rsid w:val="00484577"/>
    <w:rsid w:val="00484614"/>
    <w:rsid w:val="0048546A"/>
    <w:rsid w:val="00485538"/>
    <w:rsid w:val="00485E50"/>
    <w:rsid w:val="00486F18"/>
    <w:rsid w:val="00490266"/>
    <w:rsid w:val="004909FC"/>
    <w:rsid w:val="004916CA"/>
    <w:rsid w:val="00492A5A"/>
    <w:rsid w:val="00492E76"/>
    <w:rsid w:val="00493BDF"/>
    <w:rsid w:val="00493C66"/>
    <w:rsid w:val="00494466"/>
    <w:rsid w:val="004953F7"/>
    <w:rsid w:val="00496AB5"/>
    <w:rsid w:val="00496AF8"/>
    <w:rsid w:val="00496C69"/>
    <w:rsid w:val="00497433"/>
    <w:rsid w:val="00497ABE"/>
    <w:rsid w:val="004A002F"/>
    <w:rsid w:val="004A0255"/>
    <w:rsid w:val="004A0487"/>
    <w:rsid w:val="004A086D"/>
    <w:rsid w:val="004A0A0F"/>
    <w:rsid w:val="004A2175"/>
    <w:rsid w:val="004A397D"/>
    <w:rsid w:val="004A4396"/>
    <w:rsid w:val="004A4F57"/>
    <w:rsid w:val="004A5799"/>
    <w:rsid w:val="004A6074"/>
    <w:rsid w:val="004A6449"/>
    <w:rsid w:val="004A7631"/>
    <w:rsid w:val="004A777C"/>
    <w:rsid w:val="004A7856"/>
    <w:rsid w:val="004B03DB"/>
    <w:rsid w:val="004B1841"/>
    <w:rsid w:val="004B37BD"/>
    <w:rsid w:val="004B3DC0"/>
    <w:rsid w:val="004B4368"/>
    <w:rsid w:val="004B4722"/>
    <w:rsid w:val="004B4D22"/>
    <w:rsid w:val="004B5106"/>
    <w:rsid w:val="004B59A8"/>
    <w:rsid w:val="004B5DA0"/>
    <w:rsid w:val="004B62FE"/>
    <w:rsid w:val="004B74AF"/>
    <w:rsid w:val="004B7BFB"/>
    <w:rsid w:val="004B7C89"/>
    <w:rsid w:val="004C004A"/>
    <w:rsid w:val="004C0189"/>
    <w:rsid w:val="004C03E7"/>
    <w:rsid w:val="004C1D0D"/>
    <w:rsid w:val="004C2E72"/>
    <w:rsid w:val="004C32E6"/>
    <w:rsid w:val="004C3B55"/>
    <w:rsid w:val="004C566F"/>
    <w:rsid w:val="004C5EE9"/>
    <w:rsid w:val="004C61F5"/>
    <w:rsid w:val="004C6A2D"/>
    <w:rsid w:val="004C7885"/>
    <w:rsid w:val="004D02CA"/>
    <w:rsid w:val="004D062B"/>
    <w:rsid w:val="004D096C"/>
    <w:rsid w:val="004D0BDA"/>
    <w:rsid w:val="004D167A"/>
    <w:rsid w:val="004D1957"/>
    <w:rsid w:val="004D2099"/>
    <w:rsid w:val="004D20D5"/>
    <w:rsid w:val="004D2B94"/>
    <w:rsid w:val="004D2C9A"/>
    <w:rsid w:val="004D3613"/>
    <w:rsid w:val="004D5887"/>
    <w:rsid w:val="004D5BDE"/>
    <w:rsid w:val="004D67FE"/>
    <w:rsid w:val="004D6FCF"/>
    <w:rsid w:val="004D7F5A"/>
    <w:rsid w:val="004E02D2"/>
    <w:rsid w:val="004E142D"/>
    <w:rsid w:val="004E194E"/>
    <w:rsid w:val="004E36BA"/>
    <w:rsid w:val="004E3A87"/>
    <w:rsid w:val="004E40C3"/>
    <w:rsid w:val="004E44C0"/>
    <w:rsid w:val="004E495A"/>
    <w:rsid w:val="004E50C0"/>
    <w:rsid w:val="004E5652"/>
    <w:rsid w:val="004E5A68"/>
    <w:rsid w:val="004E5E9F"/>
    <w:rsid w:val="004E69FC"/>
    <w:rsid w:val="004E7235"/>
    <w:rsid w:val="004E7F47"/>
    <w:rsid w:val="004F1724"/>
    <w:rsid w:val="004F3119"/>
    <w:rsid w:val="004F322E"/>
    <w:rsid w:val="004F3325"/>
    <w:rsid w:val="004F406E"/>
    <w:rsid w:val="004F4078"/>
    <w:rsid w:val="004F44C3"/>
    <w:rsid w:val="004F46EE"/>
    <w:rsid w:val="004F7044"/>
    <w:rsid w:val="004F7437"/>
    <w:rsid w:val="004F778D"/>
    <w:rsid w:val="004F7AA4"/>
    <w:rsid w:val="004F7DE1"/>
    <w:rsid w:val="005003C8"/>
    <w:rsid w:val="0050208E"/>
    <w:rsid w:val="005023D2"/>
    <w:rsid w:val="0050451B"/>
    <w:rsid w:val="00504C57"/>
    <w:rsid w:val="00504CBF"/>
    <w:rsid w:val="005064B0"/>
    <w:rsid w:val="00506B56"/>
    <w:rsid w:val="0050705D"/>
    <w:rsid w:val="0051054E"/>
    <w:rsid w:val="00510E67"/>
    <w:rsid w:val="005112FC"/>
    <w:rsid w:val="00511CA5"/>
    <w:rsid w:val="00511E16"/>
    <w:rsid w:val="0051269B"/>
    <w:rsid w:val="005131B5"/>
    <w:rsid w:val="005139BE"/>
    <w:rsid w:val="00513D30"/>
    <w:rsid w:val="00513E83"/>
    <w:rsid w:val="0051414D"/>
    <w:rsid w:val="00514E48"/>
    <w:rsid w:val="0051550D"/>
    <w:rsid w:val="00515930"/>
    <w:rsid w:val="00515BF3"/>
    <w:rsid w:val="00515F8C"/>
    <w:rsid w:val="005165E0"/>
    <w:rsid w:val="00517101"/>
    <w:rsid w:val="00517794"/>
    <w:rsid w:val="00517CE7"/>
    <w:rsid w:val="00520212"/>
    <w:rsid w:val="00520C06"/>
    <w:rsid w:val="00521088"/>
    <w:rsid w:val="00521A50"/>
    <w:rsid w:val="0052211F"/>
    <w:rsid w:val="00522503"/>
    <w:rsid w:val="00522DE0"/>
    <w:rsid w:val="00523224"/>
    <w:rsid w:val="00523C9C"/>
    <w:rsid w:val="00524C8F"/>
    <w:rsid w:val="0052565D"/>
    <w:rsid w:val="00525A59"/>
    <w:rsid w:val="00525C15"/>
    <w:rsid w:val="005261C7"/>
    <w:rsid w:val="005262E8"/>
    <w:rsid w:val="00526364"/>
    <w:rsid w:val="005269D0"/>
    <w:rsid w:val="00527654"/>
    <w:rsid w:val="00527BCC"/>
    <w:rsid w:val="00530124"/>
    <w:rsid w:val="005307DD"/>
    <w:rsid w:val="00530E62"/>
    <w:rsid w:val="00531579"/>
    <w:rsid w:val="00531B33"/>
    <w:rsid w:val="00531E1A"/>
    <w:rsid w:val="0053279E"/>
    <w:rsid w:val="0053303B"/>
    <w:rsid w:val="00533E6E"/>
    <w:rsid w:val="00534068"/>
    <w:rsid w:val="00534A76"/>
    <w:rsid w:val="00535ADA"/>
    <w:rsid w:val="00536AB6"/>
    <w:rsid w:val="00537531"/>
    <w:rsid w:val="005400D6"/>
    <w:rsid w:val="00540288"/>
    <w:rsid w:val="00540F53"/>
    <w:rsid w:val="00542720"/>
    <w:rsid w:val="0054287C"/>
    <w:rsid w:val="00542B98"/>
    <w:rsid w:val="00543387"/>
    <w:rsid w:val="00543B7D"/>
    <w:rsid w:val="00544A2C"/>
    <w:rsid w:val="00545918"/>
    <w:rsid w:val="00547052"/>
    <w:rsid w:val="005504BE"/>
    <w:rsid w:val="00550834"/>
    <w:rsid w:val="00550CAC"/>
    <w:rsid w:val="0055127B"/>
    <w:rsid w:val="00551348"/>
    <w:rsid w:val="00551BF2"/>
    <w:rsid w:val="00552AB5"/>
    <w:rsid w:val="00552D1E"/>
    <w:rsid w:val="00552E8B"/>
    <w:rsid w:val="0055309F"/>
    <w:rsid w:val="005531E2"/>
    <w:rsid w:val="005545D2"/>
    <w:rsid w:val="005548D3"/>
    <w:rsid w:val="00554A53"/>
    <w:rsid w:val="00554AD4"/>
    <w:rsid w:val="00555020"/>
    <w:rsid w:val="005556CC"/>
    <w:rsid w:val="00555D5B"/>
    <w:rsid w:val="00556687"/>
    <w:rsid w:val="00556C04"/>
    <w:rsid w:val="00557080"/>
    <w:rsid w:val="00557562"/>
    <w:rsid w:val="005575A5"/>
    <w:rsid w:val="0055780C"/>
    <w:rsid w:val="005578A8"/>
    <w:rsid w:val="00561540"/>
    <w:rsid w:val="00561562"/>
    <w:rsid w:val="00561E11"/>
    <w:rsid w:val="00562DC5"/>
    <w:rsid w:val="0056588F"/>
    <w:rsid w:val="00565EDC"/>
    <w:rsid w:val="00567B20"/>
    <w:rsid w:val="00567C93"/>
    <w:rsid w:val="00567F82"/>
    <w:rsid w:val="005710AF"/>
    <w:rsid w:val="005712A2"/>
    <w:rsid w:val="005724C0"/>
    <w:rsid w:val="0057265D"/>
    <w:rsid w:val="00573455"/>
    <w:rsid w:val="0057397F"/>
    <w:rsid w:val="00573E5B"/>
    <w:rsid w:val="00574A69"/>
    <w:rsid w:val="00574D91"/>
    <w:rsid w:val="0057595B"/>
    <w:rsid w:val="005759F3"/>
    <w:rsid w:val="00575B96"/>
    <w:rsid w:val="005775D9"/>
    <w:rsid w:val="005777DE"/>
    <w:rsid w:val="00577E35"/>
    <w:rsid w:val="00577FB1"/>
    <w:rsid w:val="005822FB"/>
    <w:rsid w:val="005832ED"/>
    <w:rsid w:val="0058442D"/>
    <w:rsid w:val="005845B4"/>
    <w:rsid w:val="00584B97"/>
    <w:rsid w:val="00584EB8"/>
    <w:rsid w:val="005851BB"/>
    <w:rsid w:val="00585A53"/>
    <w:rsid w:val="00585CF6"/>
    <w:rsid w:val="00586280"/>
    <w:rsid w:val="0058666E"/>
    <w:rsid w:val="00586831"/>
    <w:rsid w:val="00587C31"/>
    <w:rsid w:val="00590ED8"/>
    <w:rsid w:val="00591697"/>
    <w:rsid w:val="00591B6C"/>
    <w:rsid w:val="00593A7C"/>
    <w:rsid w:val="00594185"/>
    <w:rsid w:val="00594469"/>
    <w:rsid w:val="005959FF"/>
    <w:rsid w:val="00595F77"/>
    <w:rsid w:val="00596106"/>
    <w:rsid w:val="00596790"/>
    <w:rsid w:val="00596D1D"/>
    <w:rsid w:val="005A01D1"/>
    <w:rsid w:val="005A0256"/>
    <w:rsid w:val="005A1248"/>
    <w:rsid w:val="005A1B7C"/>
    <w:rsid w:val="005A1D46"/>
    <w:rsid w:val="005A202B"/>
    <w:rsid w:val="005A21A9"/>
    <w:rsid w:val="005A2308"/>
    <w:rsid w:val="005A2930"/>
    <w:rsid w:val="005A384E"/>
    <w:rsid w:val="005A3E90"/>
    <w:rsid w:val="005A52A1"/>
    <w:rsid w:val="005A5C3E"/>
    <w:rsid w:val="005A6D1D"/>
    <w:rsid w:val="005B0778"/>
    <w:rsid w:val="005B0D55"/>
    <w:rsid w:val="005B0E88"/>
    <w:rsid w:val="005B0E98"/>
    <w:rsid w:val="005B117F"/>
    <w:rsid w:val="005B1227"/>
    <w:rsid w:val="005B1253"/>
    <w:rsid w:val="005B14E3"/>
    <w:rsid w:val="005B1959"/>
    <w:rsid w:val="005B2631"/>
    <w:rsid w:val="005B2A3D"/>
    <w:rsid w:val="005B33CA"/>
    <w:rsid w:val="005B421E"/>
    <w:rsid w:val="005B5046"/>
    <w:rsid w:val="005B54CC"/>
    <w:rsid w:val="005B5814"/>
    <w:rsid w:val="005B590F"/>
    <w:rsid w:val="005B66EE"/>
    <w:rsid w:val="005B6F63"/>
    <w:rsid w:val="005C0033"/>
    <w:rsid w:val="005C01C7"/>
    <w:rsid w:val="005C07FE"/>
    <w:rsid w:val="005C0EB7"/>
    <w:rsid w:val="005C20F0"/>
    <w:rsid w:val="005C2E55"/>
    <w:rsid w:val="005C3BD2"/>
    <w:rsid w:val="005C43ED"/>
    <w:rsid w:val="005C5958"/>
    <w:rsid w:val="005C61BD"/>
    <w:rsid w:val="005C6B44"/>
    <w:rsid w:val="005C711F"/>
    <w:rsid w:val="005C720C"/>
    <w:rsid w:val="005C7269"/>
    <w:rsid w:val="005C7272"/>
    <w:rsid w:val="005C73A9"/>
    <w:rsid w:val="005C7464"/>
    <w:rsid w:val="005C75F5"/>
    <w:rsid w:val="005C784F"/>
    <w:rsid w:val="005C7F31"/>
    <w:rsid w:val="005D0365"/>
    <w:rsid w:val="005D070B"/>
    <w:rsid w:val="005D105F"/>
    <w:rsid w:val="005D1161"/>
    <w:rsid w:val="005D193C"/>
    <w:rsid w:val="005D1F9E"/>
    <w:rsid w:val="005D246D"/>
    <w:rsid w:val="005D2B0A"/>
    <w:rsid w:val="005D4EF1"/>
    <w:rsid w:val="005D534F"/>
    <w:rsid w:val="005D5631"/>
    <w:rsid w:val="005D5935"/>
    <w:rsid w:val="005D682A"/>
    <w:rsid w:val="005D6F8F"/>
    <w:rsid w:val="005D724F"/>
    <w:rsid w:val="005D7AC1"/>
    <w:rsid w:val="005D7E6B"/>
    <w:rsid w:val="005E08F8"/>
    <w:rsid w:val="005E0B56"/>
    <w:rsid w:val="005E0DDC"/>
    <w:rsid w:val="005E1D4B"/>
    <w:rsid w:val="005E24AE"/>
    <w:rsid w:val="005E2816"/>
    <w:rsid w:val="005E3729"/>
    <w:rsid w:val="005E4A63"/>
    <w:rsid w:val="005E4B36"/>
    <w:rsid w:val="005E6BCB"/>
    <w:rsid w:val="005E7448"/>
    <w:rsid w:val="005F00C6"/>
    <w:rsid w:val="005F023D"/>
    <w:rsid w:val="005F0442"/>
    <w:rsid w:val="005F0577"/>
    <w:rsid w:val="005F2916"/>
    <w:rsid w:val="005F395C"/>
    <w:rsid w:val="005F408A"/>
    <w:rsid w:val="005F4EF7"/>
    <w:rsid w:val="005F4F15"/>
    <w:rsid w:val="005F53CC"/>
    <w:rsid w:val="005F6D69"/>
    <w:rsid w:val="005F6F07"/>
    <w:rsid w:val="005F70A3"/>
    <w:rsid w:val="005F7324"/>
    <w:rsid w:val="005F76DD"/>
    <w:rsid w:val="005F7708"/>
    <w:rsid w:val="005F7737"/>
    <w:rsid w:val="005F78C9"/>
    <w:rsid w:val="005F7FCA"/>
    <w:rsid w:val="00600564"/>
    <w:rsid w:val="006006A3"/>
    <w:rsid w:val="00600F24"/>
    <w:rsid w:val="00602C50"/>
    <w:rsid w:val="006039C9"/>
    <w:rsid w:val="00603CCB"/>
    <w:rsid w:val="00604EFD"/>
    <w:rsid w:val="00605081"/>
    <w:rsid w:val="006058AD"/>
    <w:rsid w:val="00606677"/>
    <w:rsid w:val="006102C5"/>
    <w:rsid w:val="00610815"/>
    <w:rsid w:val="00611E4C"/>
    <w:rsid w:val="006133D0"/>
    <w:rsid w:val="00613AE9"/>
    <w:rsid w:val="00613C74"/>
    <w:rsid w:val="00613CF0"/>
    <w:rsid w:val="0061404A"/>
    <w:rsid w:val="006149E8"/>
    <w:rsid w:val="006153F5"/>
    <w:rsid w:val="00616260"/>
    <w:rsid w:val="006166FB"/>
    <w:rsid w:val="00617965"/>
    <w:rsid w:val="00617C13"/>
    <w:rsid w:val="00621F55"/>
    <w:rsid w:val="0062251B"/>
    <w:rsid w:val="006238FD"/>
    <w:rsid w:val="00623C10"/>
    <w:rsid w:val="006254F3"/>
    <w:rsid w:val="00625EBF"/>
    <w:rsid w:val="00625ED9"/>
    <w:rsid w:val="00626451"/>
    <w:rsid w:val="00626E24"/>
    <w:rsid w:val="0062731C"/>
    <w:rsid w:val="006273BD"/>
    <w:rsid w:val="00627F19"/>
    <w:rsid w:val="00627FF0"/>
    <w:rsid w:val="00630D0D"/>
    <w:rsid w:val="006314BC"/>
    <w:rsid w:val="00631D2C"/>
    <w:rsid w:val="00631EF6"/>
    <w:rsid w:val="00632AC5"/>
    <w:rsid w:val="00632B37"/>
    <w:rsid w:val="00632DFF"/>
    <w:rsid w:val="00633231"/>
    <w:rsid w:val="00633CE4"/>
    <w:rsid w:val="00634B11"/>
    <w:rsid w:val="0063507E"/>
    <w:rsid w:val="0063591C"/>
    <w:rsid w:val="00635D50"/>
    <w:rsid w:val="00636636"/>
    <w:rsid w:val="0063708A"/>
    <w:rsid w:val="00637394"/>
    <w:rsid w:val="00640EC1"/>
    <w:rsid w:val="006428F9"/>
    <w:rsid w:val="00643083"/>
    <w:rsid w:val="00643A8B"/>
    <w:rsid w:val="0064404E"/>
    <w:rsid w:val="006448CF"/>
    <w:rsid w:val="00644F8C"/>
    <w:rsid w:val="0064703D"/>
    <w:rsid w:val="00647713"/>
    <w:rsid w:val="00647922"/>
    <w:rsid w:val="006501A1"/>
    <w:rsid w:val="006502D1"/>
    <w:rsid w:val="0065191C"/>
    <w:rsid w:val="00652263"/>
    <w:rsid w:val="006524C0"/>
    <w:rsid w:val="006526A2"/>
    <w:rsid w:val="00653BE6"/>
    <w:rsid w:val="00653BFA"/>
    <w:rsid w:val="00653D9D"/>
    <w:rsid w:val="0065427F"/>
    <w:rsid w:val="00654D4A"/>
    <w:rsid w:val="00655522"/>
    <w:rsid w:val="006555E0"/>
    <w:rsid w:val="00656235"/>
    <w:rsid w:val="006567F5"/>
    <w:rsid w:val="00657054"/>
    <w:rsid w:val="00657692"/>
    <w:rsid w:val="00657B8F"/>
    <w:rsid w:val="00657DE3"/>
    <w:rsid w:val="006603ED"/>
    <w:rsid w:val="00660857"/>
    <w:rsid w:val="0066185B"/>
    <w:rsid w:val="00661EC3"/>
    <w:rsid w:val="00663035"/>
    <w:rsid w:val="006666D3"/>
    <w:rsid w:val="006668C8"/>
    <w:rsid w:val="00666927"/>
    <w:rsid w:val="00666D73"/>
    <w:rsid w:val="006670B6"/>
    <w:rsid w:val="00667211"/>
    <w:rsid w:val="00667D8B"/>
    <w:rsid w:val="0067071C"/>
    <w:rsid w:val="0067079F"/>
    <w:rsid w:val="00670C25"/>
    <w:rsid w:val="006718B5"/>
    <w:rsid w:val="00672350"/>
    <w:rsid w:val="006732B7"/>
    <w:rsid w:val="00673DF2"/>
    <w:rsid w:val="00673EDD"/>
    <w:rsid w:val="00674E22"/>
    <w:rsid w:val="00674FAF"/>
    <w:rsid w:val="006752BF"/>
    <w:rsid w:val="006757DD"/>
    <w:rsid w:val="0067630F"/>
    <w:rsid w:val="00680301"/>
    <w:rsid w:val="006806BA"/>
    <w:rsid w:val="00680ADC"/>
    <w:rsid w:val="00682351"/>
    <w:rsid w:val="00682633"/>
    <w:rsid w:val="006838F7"/>
    <w:rsid w:val="00683F87"/>
    <w:rsid w:val="00684152"/>
    <w:rsid w:val="00684EC3"/>
    <w:rsid w:val="00685379"/>
    <w:rsid w:val="00685604"/>
    <w:rsid w:val="00687900"/>
    <w:rsid w:val="00687CD6"/>
    <w:rsid w:val="00690733"/>
    <w:rsid w:val="00690A01"/>
    <w:rsid w:val="00690D3B"/>
    <w:rsid w:val="00690FDB"/>
    <w:rsid w:val="006910FC"/>
    <w:rsid w:val="0069124B"/>
    <w:rsid w:val="006912CF"/>
    <w:rsid w:val="0069173C"/>
    <w:rsid w:val="0069178A"/>
    <w:rsid w:val="00691A94"/>
    <w:rsid w:val="00691C8F"/>
    <w:rsid w:val="006936B4"/>
    <w:rsid w:val="00693CE9"/>
    <w:rsid w:val="00694782"/>
    <w:rsid w:val="00694B32"/>
    <w:rsid w:val="00695CF3"/>
    <w:rsid w:val="006969D7"/>
    <w:rsid w:val="0069762E"/>
    <w:rsid w:val="006977FD"/>
    <w:rsid w:val="006A0CBB"/>
    <w:rsid w:val="006A143C"/>
    <w:rsid w:val="006A1B3F"/>
    <w:rsid w:val="006A2FAE"/>
    <w:rsid w:val="006A3E71"/>
    <w:rsid w:val="006A5162"/>
    <w:rsid w:val="006A565C"/>
    <w:rsid w:val="006A5664"/>
    <w:rsid w:val="006A56EB"/>
    <w:rsid w:val="006A5E0F"/>
    <w:rsid w:val="006A6857"/>
    <w:rsid w:val="006A6A74"/>
    <w:rsid w:val="006A71F7"/>
    <w:rsid w:val="006B08E7"/>
    <w:rsid w:val="006B118C"/>
    <w:rsid w:val="006B1200"/>
    <w:rsid w:val="006B15F5"/>
    <w:rsid w:val="006B2459"/>
    <w:rsid w:val="006B26EA"/>
    <w:rsid w:val="006B286C"/>
    <w:rsid w:val="006B2DFF"/>
    <w:rsid w:val="006B3211"/>
    <w:rsid w:val="006B34B4"/>
    <w:rsid w:val="006B35BB"/>
    <w:rsid w:val="006B4215"/>
    <w:rsid w:val="006B5203"/>
    <w:rsid w:val="006B542F"/>
    <w:rsid w:val="006B6632"/>
    <w:rsid w:val="006B6BE6"/>
    <w:rsid w:val="006B7437"/>
    <w:rsid w:val="006C0020"/>
    <w:rsid w:val="006C0074"/>
    <w:rsid w:val="006C11E5"/>
    <w:rsid w:val="006C2441"/>
    <w:rsid w:val="006C24EF"/>
    <w:rsid w:val="006C2AFE"/>
    <w:rsid w:val="006C2B70"/>
    <w:rsid w:val="006C3119"/>
    <w:rsid w:val="006C42B1"/>
    <w:rsid w:val="006C5409"/>
    <w:rsid w:val="006C5FCD"/>
    <w:rsid w:val="006C7618"/>
    <w:rsid w:val="006D032D"/>
    <w:rsid w:val="006D05FF"/>
    <w:rsid w:val="006D07E2"/>
    <w:rsid w:val="006D1EB4"/>
    <w:rsid w:val="006D2EFC"/>
    <w:rsid w:val="006D33FA"/>
    <w:rsid w:val="006D3B1A"/>
    <w:rsid w:val="006D4303"/>
    <w:rsid w:val="006D4836"/>
    <w:rsid w:val="006D5461"/>
    <w:rsid w:val="006D5E2D"/>
    <w:rsid w:val="006D5FC9"/>
    <w:rsid w:val="006D6E33"/>
    <w:rsid w:val="006D77FF"/>
    <w:rsid w:val="006D7A23"/>
    <w:rsid w:val="006D7E0E"/>
    <w:rsid w:val="006E0D4E"/>
    <w:rsid w:val="006E1DEA"/>
    <w:rsid w:val="006E1E52"/>
    <w:rsid w:val="006E2075"/>
    <w:rsid w:val="006E20E6"/>
    <w:rsid w:val="006E226A"/>
    <w:rsid w:val="006E3292"/>
    <w:rsid w:val="006E44AA"/>
    <w:rsid w:val="006E65DE"/>
    <w:rsid w:val="006E6C49"/>
    <w:rsid w:val="006F0B50"/>
    <w:rsid w:val="006F0BFB"/>
    <w:rsid w:val="006F1819"/>
    <w:rsid w:val="006F197F"/>
    <w:rsid w:val="006F1D08"/>
    <w:rsid w:val="006F24F2"/>
    <w:rsid w:val="006F2D7F"/>
    <w:rsid w:val="006F4895"/>
    <w:rsid w:val="006F4B53"/>
    <w:rsid w:val="006F4BED"/>
    <w:rsid w:val="006F52F5"/>
    <w:rsid w:val="006F59BC"/>
    <w:rsid w:val="006F6A35"/>
    <w:rsid w:val="006F765B"/>
    <w:rsid w:val="006F7D10"/>
    <w:rsid w:val="006F7E5E"/>
    <w:rsid w:val="00700BA9"/>
    <w:rsid w:val="00700DC9"/>
    <w:rsid w:val="0070112C"/>
    <w:rsid w:val="007018C9"/>
    <w:rsid w:val="0070199A"/>
    <w:rsid w:val="00701FBE"/>
    <w:rsid w:val="007028A4"/>
    <w:rsid w:val="00702AE4"/>
    <w:rsid w:val="0070309D"/>
    <w:rsid w:val="007030A2"/>
    <w:rsid w:val="00703989"/>
    <w:rsid w:val="00704544"/>
    <w:rsid w:val="007045DA"/>
    <w:rsid w:val="007048CD"/>
    <w:rsid w:val="0070554A"/>
    <w:rsid w:val="007056B8"/>
    <w:rsid w:val="0070698B"/>
    <w:rsid w:val="00706DBD"/>
    <w:rsid w:val="007079E5"/>
    <w:rsid w:val="00707A48"/>
    <w:rsid w:val="00707E0B"/>
    <w:rsid w:val="00711480"/>
    <w:rsid w:val="00711ACF"/>
    <w:rsid w:val="00711B78"/>
    <w:rsid w:val="00711F87"/>
    <w:rsid w:val="00712165"/>
    <w:rsid w:val="0071296C"/>
    <w:rsid w:val="00712C58"/>
    <w:rsid w:val="007138BB"/>
    <w:rsid w:val="00713F72"/>
    <w:rsid w:val="007159DB"/>
    <w:rsid w:val="00715B27"/>
    <w:rsid w:val="0071696A"/>
    <w:rsid w:val="007172A2"/>
    <w:rsid w:val="00721D77"/>
    <w:rsid w:val="00721F43"/>
    <w:rsid w:val="007227C9"/>
    <w:rsid w:val="007227E8"/>
    <w:rsid w:val="00722942"/>
    <w:rsid w:val="0072400E"/>
    <w:rsid w:val="0072404C"/>
    <w:rsid w:val="00724632"/>
    <w:rsid w:val="00724B47"/>
    <w:rsid w:val="00724B67"/>
    <w:rsid w:val="007254B7"/>
    <w:rsid w:val="00725A22"/>
    <w:rsid w:val="007263C9"/>
    <w:rsid w:val="007269CF"/>
    <w:rsid w:val="0072702B"/>
    <w:rsid w:val="007277EF"/>
    <w:rsid w:val="007278D4"/>
    <w:rsid w:val="0072798B"/>
    <w:rsid w:val="007303C2"/>
    <w:rsid w:val="00732C87"/>
    <w:rsid w:val="0073358A"/>
    <w:rsid w:val="00735E77"/>
    <w:rsid w:val="00736B5D"/>
    <w:rsid w:val="007371A5"/>
    <w:rsid w:val="00737C5E"/>
    <w:rsid w:val="00737DAB"/>
    <w:rsid w:val="00737FB7"/>
    <w:rsid w:val="007408DA"/>
    <w:rsid w:val="00740C2A"/>
    <w:rsid w:val="00741693"/>
    <w:rsid w:val="00741E1E"/>
    <w:rsid w:val="0074284C"/>
    <w:rsid w:val="00742C9B"/>
    <w:rsid w:val="0074471D"/>
    <w:rsid w:val="00744B8C"/>
    <w:rsid w:val="00744C2D"/>
    <w:rsid w:val="00744E11"/>
    <w:rsid w:val="00745295"/>
    <w:rsid w:val="0074605D"/>
    <w:rsid w:val="00746188"/>
    <w:rsid w:val="00746306"/>
    <w:rsid w:val="007464D2"/>
    <w:rsid w:val="0074704C"/>
    <w:rsid w:val="007470CC"/>
    <w:rsid w:val="00747455"/>
    <w:rsid w:val="00747E8C"/>
    <w:rsid w:val="00750EEF"/>
    <w:rsid w:val="0075160F"/>
    <w:rsid w:val="00751EA3"/>
    <w:rsid w:val="007523F8"/>
    <w:rsid w:val="007529AC"/>
    <w:rsid w:val="007529F0"/>
    <w:rsid w:val="007534AE"/>
    <w:rsid w:val="0075357E"/>
    <w:rsid w:val="00753695"/>
    <w:rsid w:val="00753953"/>
    <w:rsid w:val="00753ABE"/>
    <w:rsid w:val="007546CE"/>
    <w:rsid w:val="00754D40"/>
    <w:rsid w:val="00755584"/>
    <w:rsid w:val="00755B72"/>
    <w:rsid w:val="00755CF7"/>
    <w:rsid w:val="00756C45"/>
    <w:rsid w:val="00760DFD"/>
    <w:rsid w:val="00760F74"/>
    <w:rsid w:val="00761011"/>
    <w:rsid w:val="00761850"/>
    <w:rsid w:val="00761DE7"/>
    <w:rsid w:val="0076262C"/>
    <w:rsid w:val="007628CC"/>
    <w:rsid w:val="00762E7F"/>
    <w:rsid w:val="00762EBC"/>
    <w:rsid w:val="0076434A"/>
    <w:rsid w:val="007648B8"/>
    <w:rsid w:val="007656EF"/>
    <w:rsid w:val="00766865"/>
    <w:rsid w:val="00766881"/>
    <w:rsid w:val="007726F9"/>
    <w:rsid w:val="00773B44"/>
    <w:rsid w:val="00774B58"/>
    <w:rsid w:val="00774C34"/>
    <w:rsid w:val="007754C3"/>
    <w:rsid w:val="00775C3E"/>
    <w:rsid w:val="00776113"/>
    <w:rsid w:val="00776CB6"/>
    <w:rsid w:val="00777678"/>
    <w:rsid w:val="0077781E"/>
    <w:rsid w:val="0078080F"/>
    <w:rsid w:val="00781023"/>
    <w:rsid w:val="007820ED"/>
    <w:rsid w:val="00782401"/>
    <w:rsid w:val="00783C0F"/>
    <w:rsid w:val="00783D07"/>
    <w:rsid w:val="00784C8B"/>
    <w:rsid w:val="00786C33"/>
    <w:rsid w:val="007874D1"/>
    <w:rsid w:val="007875D5"/>
    <w:rsid w:val="00787D78"/>
    <w:rsid w:val="00790703"/>
    <w:rsid w:val="00790C5B"/>
    <w:rsid w:val="00790CEE"/>
    <w:rsid w:val="00790DA4"/>
    <w:rsid w:val="00791727"/>
    <w:rsid w:val="00792191"/>
    <w:rsid w:val="00792357"/>
    <w:rsid w:val="0079318C"/>
    <w:rsid w:val="00793523"/>
    <w:rsid w:val="00793DC1"/>
    <w:rsid w:val="00793F8B"/>
    <w:rsid w:val="007944A4"/>
    <w:rsid w:val="00794535"/>
    <w:rsid w:val="007947F9"/>
    <w:rsid w:val="007953C8"/>
    <w:rsid w:val="007957CC"/>
    <w:rsid w:val="00795CE3"/>
    <w:rsid w:val="007963AE"/>
    <w:rsid w:val="007965C2"/>
    <w:rsid w:val="007968FB"/>
    <w:rsid w:val="00796E43"/>
    <w:rsid w:val="00796F44"/>
    <w:rsid w:val="0079700A"/>
    <w:rsid w:val="007974B4"/>
    <w:rsid w:val="00797B7E"/>
    <w:rsid w:val="00797C57"/>
    <w:rsid w:val="007A0E74"/>
    <w:rsid w:val="007A138E"/>
    <w:rsid w:val="007A18D7"/>
    <w:rsid w:val="007A20FD"/>
    <w:rsid w:val="007A2BB3"/>
    <w:rsid w:val="007A2D84"/>
    <w:rsid w:val="007A2F9A"/>
    <w:rsid w:val="007A380F"/>
    <w:rsid w:val="007A4055"/>
    <w:rsid w:val="007A4D4E"/>
    <w:rsid w:val="007A5904"/>
    <w:rsid w:val="007A5C1E"/>
    <w:rsid w:val="007A5CC9"/>
    <w:rsid w:val="007A6868"/>
    <w:rsid w:val="007A6B3B"/>
    <w:rsid w:val="007A6CD4"/>
    <w:rsid w:val="007A7C19"/>
    <w:rsid w:val="007B0218"/>
    <w:rsid w:val="007B1C45"/>
    <w:rsid w:val="007B2444"/>
    <w:rsid w:val="007B2E12"/>
    <w:rsid w:val="007B6021"/>
    <w:rsid w:val="007B6E63"/>
    <w:rsid w:val="007B700A"/>
    <w:rsid w:val="007C1804"/>
    <w:rsid w:val="007C1B4E"/>
    <w:rsid w:val="007C1DC2"/>
    <w:rsid w:val="007C2BA1"/>
    <w:rsid w:val="007C4732"/>
    <w:rsid w:val="007C4A39"/>
    <w:rsid w:val="007C51C5"/>
    <w:rsid w:val="007C588B"/>
    <w:rsid w:val="007C5D21"/>
    <w:rsid w:val="007C742E"/>
    <w:rsid w:val="007D199E"/>
    <w:rsid w:val="007D21A9"/>
    <w:rsid w:val="007D26F8"/>
    <w:rsid w:val="007D2EB2"/>
    <w:rsid w:val="007D357E"/>
    <w:rsid w:val="007D3A06"/>
    <w:rsid w:val="007D3E79"/>
    <w:rsid w:val="007D40DF"/>
    <w:rsid w:val="007D4622"/>
    <w:rsid w:val="007D49E1"/>
    <w:rsid w:val="007D4A9C"/>
    <w:rsid w:val="007D6E03"/>
    <w:rsid w:val="007E01CF"/>
    <w:rsid w:val="007E1810"/>
    <w:rsid w:val="007E1827"/>
    <w:rsid w:val="007E2824"/>
    <w:rsid w:val="007E2ECA"/>
    <w:rsid w:val="007E3782"/>
    <w:rsid w:val="007E38C0"/>
    <w:rsid w:val="007E3BE9"/>
    <w:rsid w:val="007E4135"/>
    <w:rsid w:val="007E5253"/>
    <w:rsid w:val="007E59B0"/>
    <w:rsid w:val="007E6D75"/>
    <w:rsid w:val="007E75CF"/>
    <w:rsid w:val="007F0403"/>
    <w:rsid w:val="007F0552"/>
    <w:rsid w:val="007F129A"/>
    <w:rsid w:val="007F12ED"/>
    <w:rsid w:val="007F169B"/>
    <w:rsid w:val="007F1F2B"/>
    <w:rsid w:val="007F288F"/>
    <w:rsid w:val="007F2BF4"/>
    <w:rsid w:val="007F2CB1"/>
    <w:rsid w:val="007F2F39"/>
    <w:rsid w:val="007F3369"/>
    <w:rsid w:val="007F34EE"/>
    <w:rsid w:val="007F4FDF"/>
    <w:rsid w:val="007F5147"/>
    <w:rsid w:val="007F5258"/>
    <w:rsid w:val="007F5B50"/>
    <w:rsid w:val="007F5C01"/>
    <w:rsid w:val="007F6154"/>
    <w:rsid w:val="008000AF"/>
    <w:rsid w:val="00800FF1"/>
    <w:rsid w:val="0080238D"/>
    <w:rsid w:val="008023F4"/>
    <w:rsid w:val="00803621"/>
    <w:rsid w:val="00803B5E"/>
    <w:rsid w:val="008060C6"/>
    <w:rsid w:val="00806470"/>
    <w:rsid w:val="0080687C"/>
    <w:rsid w:val="008078C2"/>
    <w:rsid w:val="00807B7F"/>
    <w:rsid w:val="00807D92"/>
    <w:rsid w:val="00810293"/>
    <w:rsid w:val="00810AC1"/>
    <w:rsid w:val="00811621"/>
    <w:rsid w:val="0081172C"/>
    <w:rsid w:val="00816302"/>
    <w:rsid w:val="008167F9"/>
    <w:rsid w:val="00816CD9"/>
    <w:rsid w:val="008200CD"/>
    <w:rsid w:val="0082031B"/>
    <w:rsid w:val="00820924"/>
    <w:rsid w:val="00820D16"/>
    <w:rsid w:val="00822832"/>
    <w:rsid w:val="00822A1D"/>
    <w:rsid w:val="008232D5"/>
    <w:rsid w:val="00823D84"/>
    <w:rsid w:val="00824C13"/>
    <w:rsid w:val="00825664"/>
    <w:rsid w:val="00830501"/>
    <w:rsid w:val="00831243"/>
    <w:rsid w:val="0083144A"/>
    <w:rsid w:val="00831919"/>
    <w:rsid w:val="008323FA"/>
    <w:rsid w:val="00832A6E"/>
    <w:rsid w:val="00833396"/>
    <w:rsid w:val="00833578"/>
    <w:rsid w:val="0083383B"/>
    <w:rsid w:val="00833AF0"/>
    <w:rsid w:val="00834D80"/>
    <w:rsid w:val="00834E68"/>
    <w:rsid w:val="00834FB9"/>
    <w:rsid w:val="00835EA0"/>
    <w:rsid w:val="00836875"/>
    <w:rsid w:val="00836C57"/>
    <w:rsid w:val="00836F04"/>
    <w:rsid w:val="00841666"/>
    <w:rsid w:val="00841BBB"/>
    <w:rsid w:val="008432A1"/>
    <w:rsid w:val="00843374"/>
    <w:rsid w:val="0084562F"/>
    <w:rsid w:val="0084666A"/>
    <w:rsid w:val="00847B31"/>
    <w:rsid w:val="00847EF8"/>
    <w:rsid w:val="00851444"/>
    <w:rsid w:val="008519CA"/>
    <w:rsid w:val="00851C55"/>
    <w:rsid w:val="00853602"/>
    <w:rsid w:val="00853CD4"/>
    <w:rsid w:val="00853DA6"/>
    <w:rsid w:val="00853DAA"/>
    <w:rsid w:val="0085453F"/>
    <w:rsid w:val="00854B34"/>
    <w:rsid w:val="0085552A"/>
    <w:rsid w:val="00855C31"/>
    <w:rsid w:val="008569FA"/>
    <w:rsid w:val="0086113B"/>
    <w:rsid w:val="00861A94"/>
    <w:rsid w:val="008629D8"/>
    <w:rsid w:val="00862AF2"/>
    <w:rsid w:val="008630A7"/>
    <w:rsid w:val="00863626"/>
    <w:rsid w:val="0086389D"/>
    <w:rsid w:val="00863F9C"/>
    <w:rsid w:val="008644A1"/>
    <w:rsid w:val="008645BF"/>
    <w:rsid w:val="00864B68"/>
    <w:rsid w:val="00864DBE"/>
    <w:rsid w:val="00865F20"/>
    <w:rsid w:val="008666D8"/>
    <w:rsid w:val="00866B59"/>
    <w:rsid w:val="008673CC"/>
    <w:rsid w:val="008676E7"/>
    <w:rsid w:val="0086786B"/>
    <w:rsid w:val="0086798E"/>
    <w:rsid w:val="0086799C"/>
    <w:rsid w:val="0087095D"/>
    <w:rsid w:val="00870BD4"/>
    <w:rsid w:val="00871D0A"/>
    <w:rsid w:val="0087272F"/>
    <w:rsid w:val="00872E08"/>
    <w:rsid w:val="008732D7"/>
    <w:rsid w:val="0087356D"/>
    <w:rsid w:val="00874850"/>
    <w:rsid w:val="00874F52"/>
    <w:rsid w:val="008753D4"/>
    <w:rsid w:val="008755FD"/>
    <w:rsid w:val="00877A2A"/>
    <w:rsid w:val="00877A84"/>
    <w:rsid w:val="00880B8E"/>
    <w:rsid w:val="00880C39"/>
    <w:rsid w:val="00881660"/>
    <w:rsid w:val="00881D8A"/>
    <w:rsid w:val="00882245"/>
    <w:rsid w:val="008843CB"/>
    <w:rsid w:val="008863A6"/>
    <w:rsid w:val="008864F5"/>
    <w:rsid w:val="00887369"/>
    <w:rsid w:val="00887D90"/>
    <w:rsid w:val="008903A3"/>
    <w:rsid w:val="00893F6C"/>
    <w:rsid w:val="0089453D"/>
    <w:rsid w:val="00894668"/>
    <w:rsid w:val="00894A13"/>
    <w:rsid w:val="008952F2"/>
    <w:rsid w:val="00895D62"/>
    <w:rsid w:val="00896137"/>
    <w:rsid w:val="00896B2E"/>
    <w:rsid w:val="00896D42"/>
    <w:rsid w:val="00897390"/>
    <w:rsid w:val="00897FEF"/>
    <w:rsid w:val="008A0ED1"/>
    <w:rsid w:val="008A2379"/>
    <w:rsid w:val="008A311B"/>
    <w:rsid w:val="008A3146"/>
    <w:rsid w:val="008A3F8D"/>
    <w:rsid w:val="008A47E2"/>
    <w:rsid w:val="008A4CF8"/>
    <w:rsid w:val="008A5024"/>
    <w:rsid w:val="008A5894"/>
    <w:rsid w:val="008A65CA"/>
    <w:rsid w:val="008A7115"/>
    <w:rsid w:val="008A7422"/>
    <w:rsid w:val="008B0254"/>
    <w:rsid w:val="008B1049"/>
    <w:rsid w:val="008B19F1"/>
    <w:rsid w:val="008B2A37"/>
    <w:rsid w:val="008B2E10"/>
    <w:rsid w:val="008B347B"/>
    <w:rsid w:val="008B401C"/>
    <w:rsid w:val="008B403E"/>
    <w:rsid w:val="008B40B7"/>
    <w:rsid w:val="008B45B7"/>
    <w:rsid w:val="008B4912"/>
    <w:rsid w:val="008B7526"/>
    <w:rsid w:val="008B778E"/>
    <w:rsid w:val="008C0D9A"/>
    <w:rsid w:val="008C21A0"/>
    <w:rsid w:val="008C231C"/>
    <w:rsid w:val="008C24F9"/>
    <w:rsid w:val="008C260D"/>
    <w:rsid w:val="008C2B03"/>
    <w:rsid w:val="008C3132"/>
    <w:rsid w:val="008C3B6B"/>
    <w:rsid w:val="008C44A8"/>
    <w:rsid w:val="008C71F0"/>
    <w:rsid w:val="008C7C91"/>
    <w:rsid w:val="008D06D9"/>
    <w:rsid w:val="008D0707"/>
    <w:rsid w:val="008D0F67"/>
    <w:rsid w:val="008D107F"/>
    <w:rsid w:val="008D11AA"/>
    <w:rsid w:val="008D13A9"/>
    <w:rsid w:val="008D148E"/>
    <w:rsid w:val="008D153B"/>
    <w:rsid w:val="008D1571"/>
    <w:rsid w:val="008D2313"/>
    <w:rsid w:val="008D2B26"/>
    <w:rsid w:val="008D2CCE"/>
    <w:rsid w:val="008D329D"/>
    <w:rsid w:val="008D4436"/>
    <w:rsid w:val="008D6D77"/>
    <w:rsid w:val="008D774B"/>
    <w:rsid w:val="008D7B67"/>
    <w:rsid w:val="008D7B6A"/>
    <w:rsid w:val="008E0CB5"/>
    <w:rsid w:val="008E10E7"/>
    <w:rsid w:val="008E10F0"/>
    <w:rsid w:val="008E13FE"/>
    <w:rsid w:val="008E1A15"/>
    <w:rsid w:val="008E2263"/>
    <w:rsid w:val="008E238B"/>
    <w:rsid w:val="008E267C"/>
    <w:rsid w:val="008E2875"/>
    <w:rsid w:val="008E2FE9"/>
    <w:rsid w:val="008E42FC"/>
    <w:rsid w:val="008E4D63"/>
    <w:rsid w:val="008E58FD"/>
    <w:rsid w:val="008E5A28"/>
    <w:rsid w:val="008E5C07"/>
    <w:rsid w:val="008E605C"/>
    <w:rsid w:val="008E6158"/>
    <w:rsid w:val="008E635F"/>
    <w:rsid w:val="008E65DE"/>
    <w:rsid w:val="008E66E0"/>
    <w:rsid w:val="008E7798"/>
    <w:rsid w:val="008F0092"/>
    <w:rsid w:val="008F012B"/>
    <w:rsid w:val="008F099C"/>
    <w:rsid w:val="008F0D19"/>
    <w:rsid w:val="008F130B"/>
    <w:rsid w:val="008F16CC"/>
    <w:rsid w:val="008F1F76"/>
    <w:rsid w:val="008F296A"/>
    <w:rsid w:val="008F37E9"/>
    <w:rsid w:val="008F3BC6"/>
    <w:rsid w:val="008F41E7"/>
    <w:rsid w:val="008F4800"/>
    <w:rsid w:val="008F4A9C"/>
    <w:rsid w:val="008F56AE"/>
    <w:rsid w:val="008F6315"/>
    <w:rsid w:val="008F6438"/>
    <w:rsid w:val="008F64F3"/>
    <w:rsid w:val="008F65F7"/>
    <w:rsid w:val="008F6EE7"/>
    <w:rsid w:val="008F732A"/>
    <w:rsid w:val="008F778E"/>
    <w:rsid w:val="008F7BCB"/>
    <w:rsid w:val="009002C5"/>
    <w:rsid w:val="00902198"/>
    <w:rsid w:val="0090296D"/>
    <w:rsid w:val="00902B84"/>
    <w:rsid w:val="00903790"/>
    <w:rsid w:val="00903DDA"/>
    <w:rsid w:val="00903F2B"/>
    <w:rsid w:val="00904147"/>
    <w:rsid w:val="00905168"/>
    <w:rsid w:val="00905AFF"/>
    <w:rsid w:val="00905C12"/>
    <w:rsid w:val="00906181"/>
    <w:rsid w:val="0090636E"/>
    <w:rsid w:val="00906423"/>
    <w:rsid w:val="009072D8"/>
    <w:rsid w:val="0090789A"/>
    <w:rsid w:val="00910048"/>
    <w:rsid w:val="00910238"/>
    <w:rsid w:val="009104DA"/>
    <w:rsid w:val="009105DE"/>
    <w:rsid w:val="00910CEA"/>
    <w:rsid w:val="00910D4D"/>
    <w:rsid w:val="00911992"/>
    <w:rsid w:val="00911A64"/>
    <w:rsid w:val="00912F82"/>
    <w:rsid w:val="00913A1E"/>
    <w:rsid w:val="00914407"/>
    <w:rsid w:val="009155C8"/>
    <w:rsid w:val="00915ABA"/>
    <w:rsid w:val="00916310"/>
    <w:rsid w:val="00917534"/>
    <w:rsid w:val="0092008D"/>
    <w:rsid w:val="009201DD"/>
    <w:rsid w:val="00921C39"/>
    <w:rsid w:val="0092242B"/>
    <w:rsid w:val="00922598"/>
    <w:rsid w:val="009228AD"/>
    <w:rsid w:val="00923433"/>
    <w:rsid w:val="0092353E"/>
    <w:rsid w:val="00924905"/>
    <w:rsid w:val="00927793"/>
    <w:rsid w:val="00927E57"/>
    <w:rsid w:val="009304F8"/>
    <w:rsid w:val="00931618"/>
    <w:rsid w:val="009323C7"/>
    <w:rsid w:val="009354C9"/>
    <w:rsid w:val="00935AEC"/>
    <w:rsid w:val="00935EB9"/>
    <w:rsid w:val="00937B51"/>
    <w:rsid w:val="00937CCE"/>
    <w:rsid w:val="00937D19"/>
    <w:rsid w:val="00940352"/>
    <w:rsid w:val="00940C43"/>
    <w:rsid w:val="0094139C"/>
    <w:rsid w:val="00941757"/>
    <w:rsid w:val="00942203"/>
    <w:rsid w:val="009422C9"/>
    <w:rsid w:val="00942469"/>
    <w:rsid w:val="00942651"/>
    <w:rsid w:val="009428E5"/>
    <w:rsid w:val="009438BB"/>
    <w:rsid w:val="00943F63"/>
    <w:rsid w:val="00943F66"/>
    <w:rsid w:val="0094553F"/>
    <w:rsid w:val="0094561C"/>
    <w:rsid w:val="00946803"/>
    <w:rsid w:val="00946897"/>
    <w:rsid w:val="009475FE"/>
    <w:rsid w:val="00950728"/>
    <w:rsid w:val="00950843"/>
    <w:rsid w:val="00950E84"/>
    <w:rsid w:val="00951538"/>
    <w:rsid w:val="0095192F"/>
    <w:rsid w:val="0095235D"/>
    <w:rsid w:val="00952473"/>
    <w:rsid w:val="0095453A"/>
    <w:rsid w:val="00956AE8"/>
    <w:rsid w:val="00956B7D"/>
    <w:rsid w:val="00956CE7"/>
    <w:rsid w:val="00960B56"/>
    <w:rsid w:val="009614BE"/>
    <w:rsid w:val="00961E14"/>
    <w:rsid w:val="009635D7"/>
    <w:rsid w:val="0096382B"/>
    <w:rsid w:val="0096395F"/>
    <w:rsid w:val="00964F72"/>
    <w:rsid w:val="009667AC"/>
    <w:rsid w:val="00966902"/>
    <w:rsid w:val="00966FB8"/>
    <w:rsid w:val="00967B92"/>
    <w:rsid w:val="00967DDD"/>
    <w:rsid w:val="00967FE0"/>
    <w:rsid w:val="0097071D"/>
    <w:rsid w:val="0097084F"/>
    <w:rsid w:val="00970AB8"/>
    <w:rsid w:val="00970C3F"/>
    <w:rsid w:val="00971129"/>
    <w:rsid w:val="0097316E"/>
    <w:rsid w:val="00973788"/>
    <w:rsid w:val="00973CA5"/>
    <w:rsid w:val="00974192"/>
    <w:rsid w:val="009746A3"/>
    <w:rsid w:val="009746AB"/>
    <w:rsid w:val="00974C6A"/>
    <w:rsid w:val="00974D1C"/>
    <w:rsid w:val="00975CFE"/>
    <w:rsid w:val="00975DDC"/>
    <w:rsid w:val="009769BD"/>
    <w:rsid w:val="00976F90"/>
    <w:rsid w:val="00977005"/>
    <w:rsid w:val="0098084A"/>
    <w:rsid w:val="00980860"/>
    <w:rsid w:val="009809D3"/>
    <w:rsid w:val="00980B7D"/>
    <w:rsid w:val="0098145B"/>
    <w:rsid w:val="00982857"/>
    <w:rsid w:val="0098420D"/>
    <w:rsid w:val="00984321"/>
    <w:rsid w:val="009843FA"/>
    <w:rsid w:val="00984463"/>
    <w:rsid w:val="00984D48"/>
    <w:rsid w:val="00984FDC"/>
    <w:rsid w:val="00985538"/>
    <w:rsid w:val="009861DD"/>
    <w:rsid w:val="0098748C"/>
    <w:rsid w:val="00987913"/>
    <w:rsid w:val="00987C9A"/>
    <w:rsid w:val="00987F44"/>
    <w:rsid w:val="00987FCC"/>
    <w:rsid w:val="00990820"/>
    <w:rsid w:val="0099099C"/>
    <w:rsid w:val="00991390"/>
    <w:rsid w:val="0099149A"/>
    <w:rsid w:val="0099164F"/>
    <w:rsid w:val="00992066"/>
    <w:rsid w:val="0099209A"/>
    <w:rsid w:val="009924D3"/>
    <w:rsid w:val="009929AB"/>
    <w:rsid w:val="00992EED"/>
    <w:rsid w:val="0099332E"/>
    <w:rsid w:val="0099333E"/>
    <w:rsid w:val="00993E89"/>
    <w:rsid w:val="009953EB"/>
    <w:rsid w:val="009954FA"/>
    <w:rsid w:val="00996E47"/>
    <w:rsid w:val="0099702D"/>
    <w:rsid w:val="009971CD"/>
    <w:rsid w:val="009A022E"/>
    <w:rsid w:val="009A0A0D"/>
    <w:rsid w:val="009A1129"/>
    <w:rsid w:val="009A1718"/>
    <w:rsid w:val="009A1815"/>
    <w:rsid w:val="009A1F08"/>
    <w:rsid w:val="009A212E"/>
    <w:rsid w:val="009A3179"/>
    <w:rsid w:val="009A3DA4"/>
    <w:rsid w:val="009A4099"/>
    <w:rsid w:val="009A43F7"/>
    <w:rsid w:val="009A4A68"/>
    <w:rsid w:val="009A733C"/>
    <w:rsid w:val="009A7981"/>
    <w:rsid w:val="009A7A57"/>
    <w:rsid w:val="009B002C"/>
    <w:rsid w:val="009B0554"/>
    <w:rsid w:val="009B0663"/>
    <w:rsid w:val="009B07AF"/>
    <w:rsid w:val="009B08B8"/>
    <w:rsid w:val="009B1AFB"/>
    <w:rsid w:val="009B229D"/>
    <w:rsid w:val="009B2A70"/>
    <w:rsid w:val="009B4A9C"/>
    <w:rsid w:val="009B4DA9"/>
    <w:rsid w:val="009B51C3"/>
    <w:rsid w:val="009B54E6"/>
    <w:rsid w:val="009B5CC2"/>
    <w:rsid w:val="009B5CD0"/>
    <w:rsid w:val="009B7021"/>
    <w:rsid w:val="009B70AF"/>
    <w:rsid w:val="009B71C4"/>
    <w:rsid w:val="009B7771"/>
    <w:rsid w:val="009C0E45"/>
    <w:rsid w:val="009C1D01"/>
    <w:rsid w:val="009C2705"/>
    <w:rsid w:val="009C323F"/>
    <w:rsid w:val="009C452A"/>
    <w:rsid w:val="009C49D1"/>
    <w:rsid w:val="009C4C87"/>
    <w:rsid w:val="009C4CB2"/>
    <w:rsid w:val="009C4F5B"/>
    <w:rsid w:val="009C4FCF"/>
    <w:rsid w:val="009C5142"/>
    <w:rsid w:val="009C6D20"/>
    <w:rsid w:val="009C73DF"/>
    <w:rsid w:val="009C73E1"/>
    <w:rsid w:val="009C7476"/>
    <w:rsid w:val="009D0C60"/>
    <w:rsid w:val="009D195D"/>
    <w:rsid w:val="009D1B7D"/>
    <w:rsid w:val="009D26AC"/>
    <w:rsid w:val="009D2BBE"/>
    <w:rsid w:val="009D3257"/>
    <w:rsid w:val="009D32C2"/>
    <w:rsid w:val="009D45B6"/>
    <w:rsid w:val="009D5C15"/>
    <w:rsid w:val="009D5C55"/>
    <w:rsid w:val="009D714B"/>
    <w:rsid w:val="009D74AB"/>
    <w:rsid w:val="009D77E4"/>
    <w:rsid w:val="009E1AC5"/>
    <w:rsid w:val="009E2362"/>
    <w:rsid w:val="009E2584"/>
    <w:rsid w:val="009E49C7"/>
    <w:rsid w:val="009E4A4D"/>
    <w:rsid w:val="009E4CEE"/>
    <w:rsid w:val="009E506E"/>
    <w:rsid w:val="009E5305"/>
    <w:rsid w:val="009E591A"/>
    <w:rsid w:val="009E5F43"/>
    <w:rsid w:val="009E6A8F"/>
    <w:rsid w:val="009E6BD0"/>
    <w:rsid w:val="009E7732"/>
    <w:rsid w:val="009E7D7F"/>
    <w:rsid w:val="009F2618"/>
    <w:rsid w:val="009F2E52"/>
    <w:rsid w:val="009F3A4C"/>
    <w:rsid w:val="009F53B0"/>
    <w:rsid w:val="009F5ADF"/>
    <w:rsid w:val="009F764E"/>
    <w:rsid w:val="00A00003"/>
    <w:rsid w:val="00A00A2B"/>
    <w:rsid w:val="00A00F7E"/>
    <w:rsid w:val="00A01F68"/>
    <w:rsid w:val="00A020EE"/>
    <w:rsid w:val="00A031F7"/>
    <w:rsid w:val="00A0324C"/>
    <w:rsid w:val="00A03541"/>
    <w:rsid w:val="00A03B87"/>
    <w:rsid w:val="00A03E85"/>
    <w:rsid w:val="00A04C05"/>
    <w:rsid w:val="00A05B69"/>
    <w:rsid w:val="00A05CBA"/>
    <w:rsid w:val="00A066D7"/>
    <w:rsid w:val="00A07A7E"/>
    <w:rsid w:val="00A07B70"/>
    <w:rsid w:val="00A07D16"/>
    <w:rsid w:val="00A1011F"/>
    <w:rsid w:val="00A115B5"/>
    <w:rsid w:val="00A127EE"/>
    <w:rsid w:val="00A133A7"/>
    <w:rsid w:val="00A13725"/>
    <w:rsid w:val="00A13C73"/>
    <w:rsid w:val="00A1405F"/>
    <w:rsid w:val="00A142DB"/>
    <w:rsid w:val="00A142F1"/>
    <w:rsid w:val="00A14563"/>
    <w:rsid w:val="00A14B94"/>
    <w:rsid w:val="00A15529"/>
    <w:rsid w:val="00A1560F"/>
    <w:rsid w:val="00A15E7F"/>
    <w:rsid w:val="00A15F14"/>
    <w:rsid w:val="00A16334"/>
    <w:rsid w:val="00A1705B"/>
    <w:rsid w:val="00A20EB3"/>
    <w:rsid w:val="00A220FB"/>
    <w:rsid w:val="00A22436"/>
    <w:rsid w:val="00A224FF"/>
    <w:rsid w:val="00A22CC9"/>
    <w:rsid w:val="00A23074"/>
    <w:rsid w:val="00A2376E"/>
    <w:rsid w:val="00A24100"/>
    <w:rsid w:val="00A25961"/>
    <w:rsid w:val="00A26D46"/>
    <w:rsid w:val="00A27B13"/>
    <w:rsid w:val="00A31E3F"/>
    <w:rsid w:val="00A3291F"/>
    <w:rsid w:val="00A32B1B"/>
    <w:rsid w:val="00A32D60"/>
    <w:rsid w:val="00A339ED"/>
    <w:rsid w:val="00A33DBD"/>
    <w:rsid w:val="00A342E0"/>
    <w:rsid w:val="00A3522C"/>
    <w:rsid w:val="00A354C6"/>
    <w:rsid w:val="00A35CF1"/>
    <w:rsid w:val="00A36017"/>
    <w:rsid w:val="00A373D7"/>
    <w:rsid w:val="00A37CD6"/>
    <w:rsid w:val="00A40A2C"/>
    <w:rsid w:val="00A40C71"/>
    <w:rsid w:val="00A410CC"/>
    <w:rsid w:val="00A41638"/>
    <w:rsid w:val="00A4163F"/>
    <w:rsid w:val="00A421FA"/>
    <w:rsid w:val="00A42577"/>
    <w:rsid w:val="00A4469A"/>
    <w:rsid w:val="00A44768"/>
    <w:rsid w:val="00A44B6D"/>
    <w:rsid w:val="00A469DD"/>
    <w:rsid w:val="00A47673"/>
    <w:rsid w:val="00A508B2"/>
    <w:rsid w:val="00A51304"/>
    <w:rsid w:val="00A514F8"/>
    <w:rsid w:val="00A5333E"/>
    <w:rsid w:val="00A53B57"/>
    <w:rsid w:val="00A5436B"/>
    <w:rsid w:val="00A54CC3"/>
    <w:rsid w:val="00A55B63"/>
    <w:rsid w:val="00A55C8C"/>
    <w:rsid w:val="00A56DD2"/>
    <w:rsid w:val="00A607AF"/>
    <w:rsid w:val="00A61BCF"/>
    <w:rsid w:val="00A61BE1"/>
    <w:rsid w:val="00A61E51"/>
    <w:rsid w:val="00A62249"/>
    <w:rsid w:val="00A6268F"/>
    <w:rsid w:val="00A634B0"/>
    <w:rsid w:val="00A64101"/>
    <w:rsid w:val="00A644AD"/>
    <w:rsid w:val="00A648C0"/>
    <w:rsid w:val="00A65F9E"/>
    <w:rsid w:val="00A66D52"/>
    <w:rsid w:val="00A70648"/>
    <w:rsid w:val="00A708BC"/>
    <w:rsid w:val="00A71485"/>
    <w:rsid w:val="00A72A4C"/>
    <w:rsid w:val="00A74DFA"/>
    <w:rsid w:val="00A769D5"/>
    <w:rsid w:val="00A77067"/>
    <w:rsid w:val="00A81919"/>
    <w:rsid w:val="00A81AA3"/>
    <w:rsid w:val="00A81E7D"/>
    <w:rsid w:val="00A8234F"/>
    <w:rsid w:val="00A82BF7"/>
    <w:rsid w:val="00A8402B"/>
    <w:rsid w:val="00A84BAB"/>
    <w:rsid w:val="00A85927"/>
    <w:rsid w:val="00A85B19"/>
    <w:rsid w:val="00A86CD5"/>
    <w:rsid w:val="00A900DF"/>
    <w:rsid w:val="00A9043E"/>
    <w:rsid w:val="00A9147D"/>
    <w:rsid w:val="00A9228E"/>
    <w:rsid w:val="00A927F4"/>
    <w:rsid w:val="00A93B1D"/>
    <w:rsid w:val="00A945E6"/>
    <w:rsid w:val="00A94637"/>
    <w:rsid w:val="00A94A13"/>
    <w:rsid w:val="00A95664"/>
    <w:rsid w:val="00A96DC6"/>
    <w:rsid w:val="00A96EDD"/>
    <w:rsid w:val="00A97485"/>
    <w:rsid w:val="00A97C65"/>
    <w:rsid w:val="00AA16C8"/>
    <w:rsid w:val="00AA2485"/>
    <w:rsid w:val="00AA27D4"/>
    <w:rsid w:val="00AA33BE"/>
    <w:rsid w:val="00AA3904"/>
    <w:rsid w:val="00AA3B65"/>
    <w:rsid w:val="00AA4245"/>
    <w:rsid w:val="00AA4F87"/>
    <w:rsid w:val="00AA5111"/>
    <w:rsid w:val="00AA533F"/>
    <w:rsid w:val="00AA56CB"/>
    <w:rsid w:val="00AA599F"/>
    <w:rsid w:val="00AA6D3B"/>
    <w:rsid w:val="00AA7AA8"/>
    <w:rsid w:val="00AB0B96"/>
    <w:rsid w:val="00AB0C7E"/>
    <w:rsid w:val="00AB3A85"/>
    <w:rsid w:val="00AB3B8C"/>
    <w:rsid w:val="00AB50D7"/>
    <w:rsid w:val="00AB5445"/>
    <w:rsid w:val="00AB5911"/>
    <w:rsid w:val="00AB6574"/>
    <w:rsid w:val="00AB6674"/>
    <w:rsid w:val="00AB68D1"/>
    <w:rsid w:val="00AB692E"/>
    <w:rsid w:val="00AC061D"/>
    <w:rsid w:val="00AC0841"/>
    <w:rsid w:val="00AC0D07"/>
    <w:rsid w:val="00AC1A29"/>
    <w:rsid w:val="00AC1CD9"/>
    <w:rsid w:val="00AC2694"/>
    <w:rsid w:val="00AC3244"/>
    <w:rsid w:val="00AC32A6"/>
    <w:rsid w:val="00AC3ABE"/>
    <w:rsid w:val="00AC3B04"/>
    <w:rsid w:val="00AC4C40"/>
    <w:rsid w:val="00AC5587"/>
    <w:rsid w:val="00AC573F"/>
    <w:rsid w:val="00AC60A8"/>
    <w:rsid w:val="00AC663E"/>
    <w:rsid w:val="00AC692C"/>
    <w:rsid w:val="00AC6D13"/>
    <w:rsid w:val="00AC71F4"/>
    <w:rsid w:val="00AC7226"/>
    <w:rsid w:val="00AC7720"/>
    <w:rsid w:val="00AD04F1"/>
    <w:rsid w:val="00AD061F"/>
    <w:rsid w:val="00AD099D"/>
    <w:rsid w:val="00AD13F0"/>
    <w:rsid w:val="00AD2168"/>
    <w:rsid w:val="00AD264F"/>
    <w:rsid w:val="00AD2F66"/>
    <w:rsid w:val="00AD4738"/>
    <w:rsid w:val="00AD54C1"/>
    <w:rsid w:val="00AD63A0"/>
    <w:rsid w:val="00AE25D5"/>
    <w:rsid w:val="00AE2AA8"/>
    <w:rsid w:val="00AE33A6"/>
    <w:rsid w:val="00AE4639"/>
    <w:rsid w:val="00AE50C5"/>
    <w:rsid w:val="00AE6423"/>
    <w:rsid w:val="00AE6813"/>
    <w:rsid w:val="00AE6D48"/>
    <w:rsid w:val="00AE7CE5"/>
    <w:rsid w:val="00AF059E"/>
    <w:rsid w:val="00AF06E8"/>
    <w:rsid w:val="00AF119E"/>
    <w:rsid w:val="00AF1664"/>
    <w:rsid w:val="00AF22F9"/>
    <w:rsid w:val="00AF330E"/>
    <w:rsid w:val="00AF532F"/>
    <w:rsid w:val="00AF5B0B"/>
    <w:rsid w:val="00AF5C99"/>
    <w:rsid w:val="00B00062"/>
    <w:rsid w:val="00B008F1"/>
    <w:rsid w:val="00B00B64"/>
    <w:rsid w:val="00B011D5"/>
    <w:rsid w:val="00B03A29"/>
    <w:rsid w:val="00B03DC4"/>
    <w:rsid w:val="00B03E94"/>
    <w:rsid w:val="00B04658"/>
    <w:rsid w:val="00B10D24"/>
    <w:rsid w:val="00B10EB6"/>
    <w:rsid w:val="00B1159A"/>
    <w:rsid w:val="00B11657"/>
    <w:rsid w:val="00B118A7"/>
    <w:rsid w:val="00B121B1"/>
    <w:rsid w:val="00B125C6"/>
    <w:rsid w:val="00B12C95"/>
    <w:rsid w:val="00B1304E"/>
    <w:rsid w:val="00B1405E"/>
    <w:rsid w:val="00B146DF"/>
    <w:rsid w:val="00B14A35"/>
    <w:rsid w:val="00B15051"/>
    <w:rsid w:val="00B15E0F"/>
    <w:rsid w:val="00B1657E"/>
    <w:rsid w:val="00B167A4"/>
    <w:rsid w:val="00B2148E"/>
    <w:rsid w:val="00B2173F"/>
    <w:rsid w:val="00B21BDF"/>
    <w:rsid w:val="00B22203"/>
    <w:rsid w:val="00B22E5A"/>
    <w:rsid w:val="00B252C7"/>
    <w:rsid w:val="00B26045"/>
    <w:rsid w:val="00B30DAA"/>
    <w:rsid w:val="00B31539"/>
    <w:rsid w:val="00B31EC2"/>
    <w:rsid w:val="00B31F3A"/>
    <w:rsid w:val="00B32862"/>
    <w:rsid w:val="00B33246"/>
    <w:rsid w:val="00B33402"/>
    <w:rsid w:val="00B33CC3"/>
    <w:rsid w:val="00B3432B"/>
    <w:rsid w:val="00B35AC1"/>
    <w:rsid w:val="00B36667"/>
    <w:rsid w:val="00B3676A"/>
    <w:rsid w:val="00B36BCD"/>
    <w:rsid w:val="00B3723D"/>
    <w:rsid w:val="00B37A0C"/>
    <w:rsid w:val="00B40E2E"/>
    <w:rsid w:val="00B417A0"/>
    <w:rsid w:val="00B41824"/>
    <w:rsid w:val="00B42677"/>
    <w:rsid w:val="00B438A9"/>
    <w:rsid w:val="00B43B64"/>
    <w:rsid w:val="00B43D96"/>
    <w:rsid w:val="00B43DEF"/>
    <w:rsid w:val="00B44ABC"/>
    <w:rsid w:val="00B45988"/>
    <w:rsid w:val="00B46579"/>
    <w:rsid w:val="00B4751B"/>
    <w:rsid w:val="00B477DE"/>
    <w:rsid w:val="00B47F84"/>
    <w:rsid w:val="00B50904"/>
    <w:rsid w:val="00B51B25"/>
    <w:rsid w:val="00B5217A"/>
    <w:rsid w:val="00B52DDE"/>
    <w:rsid w:val="00B5318C"/>
    <w:rsid w:val="00B53D9D"/>
    <w:rsid w:val="00B540F1"/>
    <w:rsid w:val="00B54DDD"/>
    <w:rsid w:val="00B553D0"/>
    <w:rsid w:val="00B55417"/>
    <w:rsid w:val="00B555AE"/>
    <w:rsid w:val="00B55E87"/>
    <w:rsid w:val="00B564FA"/>
    <w:rsid w:val="00B5730A"/>
    <w:rsid w:val="00B57DCE"/>
    <w:rsid w:val="00B57FAE"/>
    <w:rsid w:val="00B60F86"/>
    <w:rsid w:val="00B62685"/>
    <w:rsid w:val="00B6357C"/>
    <w:rsid w:val="00B63FF0"/>
    <w:rsid w:val="00B653B8"/>
    <w:rsid w:val="00B65D29"/>
    <w:rsid w:val="00B660EE"/>
    <w:rsid w:val="00B66819"/>
    <w:rsid w:val="00B66B68"/>
    <w:rsid w:val="00B6769F"/>
    <w:rsid w:val="00B6786A"/>
    <w:rsid w:val="00B67D2D"/>
    <w:rsid w:val="00B702AA"/>
    <w:rsid w:val="00B70473"/>
    <w:rsid w:val="00B7126A"/>
    <w:rsid w:val="00B71290"/>
    <w:rsid w:val="00B72A1B"/>
    <w:rsid w:val="00B72FD7"/>
    <w:rsid w:val="00B73375"/>
    <w:rsid w:val="00B73DE7"/>
    <w:rsid w:val="00B74913"/>
    <w:rsid w:val="00B75ED0"/>
    <w:rsid w:val="00B76206"/>
    <w:rsid w:val="00B7690D"/>
    <w:rsid w:val="00B76C5E"/>
    <w:rsid w:val="00B771CE"/>
    <w:rsid w:val="00B77D87"/>
    <w:rsid w:val="00B81A4F"/>
    <w:rsid w:val="00B82827"/>
    <w:rsid w:val="00B843D2"/>
    <w:rsid w:val="00B84B74"/>
    <w:rsid w:val="00B85D83"/>
    <w:rsid w:val="00B85F76"/>
    <w:rsid w:val="00B907A7"/>
    <w:rsid w:val="00B90CA4"/>
    <w:rsid w:val="00B92398"/>
    <w:rsid w:val="00B92483"/>
    <w:rsid w:val="00B93F44"/>
    <w:rsid w:val="00B94577"/>
    <w:rsid w:val="00B95869"/>
    <w:rsid w:val="00B9658C"/>
    <w:rsid w:val="00B96E8F"/>
    <w:rsid w:val="00B97089"/>
    <w:rsid w:val="00B97A02"/>
    <w:rsid w:val="00BA00FD"/>
    <w:rsid w:val="00BA0104"/>
    <w:rsid w:val="00BA0174"/>
    <w:rsid w:val="00BA0B5B"/>
    <w:rsid w:val="00BA14EF"/>
    <w:rsid w:val="00BA2649"/>
    <w:rsid w:val="00BA460C"/>
    <w:rsid w:val="00BA6ED8"/>
    <w:rsid w:val="00BA6FCF"/>
    <w:rsid w:val="00BA77E7"/>
    <w:rsid w:val="00BA7E1F"/>
    <w:rsid w:val="00BB0D9F"/>
    <w:rsid w:val="00BB0E28"/>
    <w:rsid w:val="00BB17C6"/>
    <w:rsid w:val="00BB1FC5"/>
    <w:rsid w:val="00BB2272"/>
    <w:rsid w:val="00BB3FFC"/>
    <w:rsid w:val="00BB4092"/>
    <w:rsid w:val="00BB5A85"/>
    <w:rsid w:val="00BB5BE0"/>
    <w:rsid w:val="00BB5C4C"/>
    <w:rsid w:val="00BB5D88"/>
    <w:rsid w:val="00BB664E"/>
    <w:rsid w:val="00BB6B6A"/>
    <w:rsid w:val="00BB6C55"/>
    <w:rsid w:val="00BB7AA3"/>
    <w:rsid w:val="00BB7AFD"/>
    <w:rsid w:val="00BB7B0C"/>
    <w:rsid w:val="00BB7E98"/>
    <w:rsid w:val="00BC0A8D"/>
    <w:rsid w:val="00BC0EB1"/>
    <w:rsid w:val="00BC170A"/>
    <w:rsid w:val="00BC26FD"/>
    <w:rsid w:val="00BC28A5"/>
    <w:rsid w:val="00BC2E95"/>
    <w:rsid w:val="00BC33C4"/>
    <w:rsid w:val="00BC367A"/>
    <w:rsid w:val="00BC449A"/>
    <w:rsid w:val="00BC4D3B"/>
    <w:rsid w:val="00BC598D"/>
    <w:rsid w:val="00BC6245"/>
    <w:rsid w:val="00BC6ABC"/>
    <w:rsid w:val="00BC6C90"/>
    <w:rsid w:val="00BD0507"/>
    <w:rsid w:val="00BD1351"/>
    <w:rsid w:val="00BD17F6"/>
    <w:rsid w:val="00BD2054"/>
    <w:rsid w:val="00BD206D"/>
    <w:rsid w:val="00BD2192"/>
    <w:rsid w:val="00BD382E"/>
    <w:rsid w:val="00BD4387"/>
    <w:rsid w:val="00BD4F1E"/>
    <w:rsid w:val="00BD5D3B"/>
    <w:rsid w:val="00BD62E0"/>
    <w:rsid w:val="00BD6644"/>
    <w:rsid w:val="00BD6BF1"/>
    <w:rsid w:val="00BD7AA0"/>
    <w:rsid w:val="00BE079D"/>
    <w:rsid w:val="00BE14E9"/>
    <w:rsid w:val="00BE2249"/>
    <w:rsid w:val="00BE2762"/>
    <w:rsid w:val="00BE31F3"/>
    <w:rsid w:val="00BE3922"/>
    <w:rsid w:val="00BE3E97"/>
    <w:rsid w:val="00BE5131"/>
    <w:rsid w:val="00BE5788"/>
    <w:rsid w:val="00BE5AEA"/>
    <w:rsid w:val="00BE5CB6"/>
    <w:rsid w:val="00BE6352"/>
    <w:rsid w:val="00BE692F"/>
    <w:rsid w:val="00BE6D38"/>
    <w:rsid w:val="00BE7E83"/>
    <w:rsid w:val="00BF044E"/>
    <w:rsid w:val="00BF056F"/>
    <w:rsid w:val="00BF2098"/>
    <w:rsid w:val="00BF35DE"/>
    <w:rsid w:val="00BF5785"/>
    <w:rsid w:val="00BF5B64"/>
    <w:rsid w:val="00BF60A0"/>
    <w:rsid w:val="00BF6F7D"/>
    <w:rsid w:val="00BF7871"/>
    <w:rsid w:val="00C005F9"/>
    <w:rsid w:val="00C00602"/>
    <w:rsid w:val="00C010FB"/>
    <w:rsid w:val="00C0174A"/>
    <w:rsid w:val="00C01D6C"/>
    <w:rsid w:val="00C02232"/>
    <w:rsid w:val="00C0405C"/>
    <w:rsid w:val="00C0495E"/>
    <w:rsid w:val="00C07530"/>
    <w:rsid w:val="00C0783E"/>
    <w:rsid w:val="00C07A63"/>
    <w:rsid w:val="00C10A8E"/>
    <w:rsid w:val="00C118D7"/>
    <w:rsid w:val="00C12134"/>
    <w:rsid w:val="00C12CED"/>
    <w:rsid w:val="00C13CA0"/>
    <w:rsid w:val="00C15277"/>
    <w:rsid w:val="00C16980"/>
    <w:rsid w:val="00C20DCD"/>
    <w:rsid w:val="00C21642"/>
    <w:rsid w:val="00C21A09"/>
    <w:rsid w:val="00C224A7"/>
    <w:rsid w:val="00C2429D"/>
    <w:rsid w:val="00C24DCA"/>
    <w:rsid w:val="00C25BF4"/>
    <w:rsid w:val="00C26D1B"/>
    <w:rsid w:val="00C2759B"/>
    <w:rsid w:val="00C27C6B"/>
    <w:rsid w:val="00C27E20"/>
    <w:rsid w:val="00C30C7C"/>
    <w:rsid w:val="00C312E0"/>
    <w:rsid w:val="00C320E6"/>
    <w:rsid w:val="00C32638"/>
    <w:rsid w:val="00C32C35"/>
    <w:rsid w:val="00C32EA2"/>
    <w:rsid w:val="00C331B7"/>
    <w:rsid w:val="00C3467B"/>
    <w:rsid w:val="00C3548B"/>
    <w:rsid w:val="00C357B1"/>
    <w:rsid w:val="00C3676A"/>
    <w:rsid w:val="00C36DC8"/>
    <w:rsid w:val="00C377BE"/>
    <w:rsid w:val="00C37C85"/>
    <w:rsid w:val="00C40E1A"/>
    <w:rsid w:val="00C41A9F"/>
    <w:rsid w:val="00C423C8"/>
    <w:rsid w:val="00C42D90"/>
    <w:rsid w:val="00C44786"/>
    <w:rsid w:val="00C447E2"/>
    <w:rsid w:val="00C44A7A"/>
    <w:rsid w:val="00C44A7F"/>
    <w:rsid w:val="00C44E8C"/>
    <w:rsid w:val="00C45131"/>
    <w:rsid w:val="00C4555E"/>
    <w:rsid w:val="00C464F3"/>
    <w:rsid w:val="00C47826"/>
    <w:rsid w:val="00C479D6"/>
    <w:rsid w:val="00C47EE7"/>
    <w:rsid w:val="00C505C5"/>
    <w:rsid w:val="00C5063A"/>
    <w:rsid w:val="00C51287"/>
    <w:rsid w:val="00C512A1"/>
    <w:rsid w:val="00C5165B"/>
    <w:rsid w:val="00C51670"/>
    <w:rsid w:val="00C524CD"/>
    <w:rsid w:val="00C52781"/>
    <w:rsid w:val="00C52F42"/>
    <w:rsid w:val="00C535FC"/>
    <w:rsid w:val="00C54602"/>
    <w:rsid w:val="00C54B0A"/>
    <w:rsid w:val="00C553BC"/>
    <w:rsid w:val="00C555E0"/>
    <w:rsid w:val="00C55CF3"/>
    <w:rsid w:val="00C56FA5"/>
    <w:rsid w:val="00C5724B"/>
    <w:rsid w:val="00C57708"/>
    <w:rsid w:val="00C57BEC"/>
    <w:rsid w:val="00C61412"/>
    <w:rsid w:val="00C61D65"/>
    <w:rsid w:val="00C61FB2"/>
    <w:rsid w:val="00C63A02"/>
    <w:rsid w:val="00C64405"/>
    <w:rsid w:val="00C6471B"/>
    <w:rsid w:val="00C64993"/>
    <w:rsid w:val="00C64F96"/>
    <w:rsid w:val="00C66438"/>
    <w:rsid w:val="00C6659C"/>
    <w:rsid w:val="00C66671"/>
    <w:rsid w:val="00C66E89"/>
    <w:rsid w:val="00C672F8"/>
    <w:rsid w:val="00C708C5"/>
    <w:rsid w:val="00C70A40"/>
    <w:rsid w:val="00C71408"/>
    <w:rsid w:val="00C71509"/>
    <w:rsid w:val="00C71A7B"/>
    <w:rsid w:val="00C72C9E"/>
    <w:rsid w:val="00C74358"/>
    <w:rsid w:val="00C756CA"/>
    <w:rsid w:val="00C759AB"/>
    <w:rsid w:val="00C7696D"/>
    <w:rsid w:val="00C76BBA"/>
    <w:rsid w:val="00C77EA6"/>
    <w:rsid w:val="00C80057"/>
    <w:rsid w:val="00C81762"/>
    <w:rsid w:val="00C81BD3"/>
    <w:rsid w:val="00C824B8"/>
    <w:rsid w:val="00C82860"/>
    <w:rsid w:val="00C82A50"/>
    <w:rsid w:val="00C83583"/>
    <w:rsid w:val="00C83A8E"/>
    <w:rsid w:val="00C84104"/>
    <w:rsid w:val="00C84C2C"/>
    <w:rsid w:val="00C84E3B"/>
    <w:rsid w:val="00C85E13"/>
    <w:rsid w:val="00C8605A"/>
    <w:rsid w:val="00C866F3"/>
    <w:rsid w:val="00C8671B"/>
    <w:rsid w:val="00C86755"/>
    <w:rsid w:val="00C86E4D"/>
    <w:rsid w:val="00C87998"/>
    <w:rsid w:val="00C87D5C"/>
    <w:rsid w:val="00C87F1C"/>
    <w:rsid w:val="00C87FE2"/>
    <w:rsid w:val="00C9037B"/>
    <w:rsid w:val="00C903CC"/>
    <w:rsid w:val="00C908B1"/>
    <w:rsid w:val="00C91CBC"/>
    <w:rsid w:val="00C93BE8"/>
    <w:rsid w:val="00C949D5"/>
    <w:rsid w:val="00C95649"/>
    <w:rsid w:val="00C95E6D"/>
    <w:rsid w:val="00C95F02"/>
    <w:rsid w:val="00C9623B"/>
    <w:rsid w:val="00C96431"/>
    <w:rsid w:val="00C96536"/>
    <w:rsid w:val="00C96F88"/>
    <w:rsid w:val="00C97E73"/>
    <w:rsid w:val="00C97EE4"/>
    <w:rsid w:val="00CA0C2A"/>
    <w:rsid w:val="00CA0F9E"/>
    <w:rsid w:val="00CA1189"/>
    <w:rsid w:val="00CA1780"/>
    <w:rsid w:val="00CA1D55"/>
    <w:rsid w:val="00CA1ECC"/>
    <w:rsid w:val="00CA20C8"/>
    <w:rsid w:val="00CA30D8"/>
    <w:rsid w:val="00CA36BD"/>
    <w:rsid w:val="00CA3D0E"/>
    <w:rsid w:val="00CA4A88"/>
    <w:rsid w:val="00CA50A1"/>
    <w:rsid w:val="00CA5499"/>
    <w:rsid w:val="00CA5A93"/>
    <w:rsid w:val="00CA5F39"/>
    <w:rsid w:val="00CA776B"/>
    <w:rsid w:val="00CA7C72"/>
    <w:rsid w:val="00CA7E0C"/>
    <w:rsid w:val="00CB19D7"/>
    <w:rsid w:val="00CB2444"/>
    <w:rsid w:val="00CB2DC9"/>
    <w:rsid w:val="00CB3D03"/>
    <w:rsid w:val="00CB3D62"/>
    <w:rsid w:val="00CB417B"/>
    <w:rsid w:val="00CB44DB"/>
    <w:rsid w:val="00CB493D"/>
    <w:rsid w:val="00CB49E6"/>
    <w:rsid w:val="00CB5C9D"/>
    <w:rsid w:val="00CB7DD3"/>
    <w:rsid w:val="00CC0208"/>
    <w:rsid w:val="00CC03EA"/>
    <w:rsid w:val="00CC05AA"/>
    <w:rsid w:val="00CC0879"/>
    <w:rsid w:val="00CC0A6C"/>
    <w:rsid w:val="00CC0F32"/>
    <w:rsid w:val="00CC1ECF"/>
    <w:rsid w:val="00CC25CB"/>
    <w:rsid w:val="00CC3932"/>
    <w:rsid w:val="00CC4322"/>
    <w:rsid w:val="00CC508B"/>
    <w:rsid w:val="00CC530D"/>
    <w:rsid w:val="00CC5888"/>
    <w:rsid w:val="00CC5EAB"/>
    <w:rsid w:val="00CC671E"/>
    <w:rsid w:val="00CC7063"/>
    <w:rsid w:val="00CC7E48"/>
    <w:rsid w:val="00CD05FC"/>
    <w:rsid w:val="00CD0A6C"/>
    <w:rsid w:val="00CD0DE5"/>
    <w:rsid w:val="00CD0E53"/>
    <w:rsid w:val="00CD0FB4"/>
    <w:rsid w:val="00CD1CDA"/>
    <w:rsid w:val="00CD22B2"/>
    <w:rsid w:val="00CD37F2"/>
    <w:rsid w:val="00CD3BDF"/>
    <w:rsid w:val="00CD3E9C"/>
    <w:rsid w:val="00CD4AA1"/>
    <w:rsid w:val="00CD4DD0"/>
    <w:rsid w:val="00CD4FE7"/>
    <w:rsid w:val="00CD66B1"/>
    <w:rsid w:val="00CD70E7"/>
    <w:rsid w:val="00CE0FC0"/>
    <w:rsid w:val="00CE2007"/>
    <w:rsid w:val="00CE2CCE"/>
    <w:rsid w:val="00CE318C"/>
    <w:rsid w:val="00CE3235"/>
    <w:rsid w:val="00CE32DE"/>
    <w:rsid w:val="00CE43CA"/>
    <w:rsid w:val="00CE4404"/>
    <w:rsid w:val="00CE4A0C"/>
    <w:rsid w:val="00CE532C"/>
    <w:rsid w:val="00CE532D"/>
    <w:rsid w:val="00CE5C6A"/>
    <w:rsid w:val="00CE5E08"/>
    <w:rsid w:val="00CE61C2"/>
    <w:rsid w:val="00CE624A"/>
    <w:rsid w:val="00CE6646"/>
    <w:rsid w:val="00CE6761"/>
    <w:rsid w:val="00CE7526"/>
    <w:rsid w:val="00CF0A06"/>
    <w:rsid w:val="00CF1279"/>
    <w:rsid w:val="00CF1794"/>
    <w:rsid w:val="00CF17ED"/>
    <w:rsid w:val="00CF1D44"/>
    <w:rsid w:val="00CF23D3"/>
    <w:rsid w:val="00CF2E3A"/>
    <w:rsid w:val="00CF3211"/>
    <w:rsid w:val="00CF38ED"/>
    <w:rsid w:val="00CF60EB"/>
    <w:rsid w:val="00CF6CA9"/>
    <w:rsid w:val="00CF7BED"/>
    <w:rsid w:val="00CF7F17"/>
    <w:rsid w:val="00D001D9"/>
    <w:rsid w:val="00D0139B"/>
    <w:rsid w:val="00D0148B"/>
    <w:rsid w:val="00D02789"/>
    <w:rsid w:val="00D02A8A"/>
    <w:rsid w:val="00D02CA3"/>
    <w:rsid w:val="00D0314B"/>
    <w:rsid w:val="00D039B4"/>
    <w:rsid w:val="00D03E19"/>
    <w:rsid w:val="00D043F0"/>
    <w:rsid w:val="00D04C29"/>
    <w:rsid w:val="00D05BAF"/>
    <w:rsid w:val="00D0620D"/>
    <w:rsid w:val="00D06298"/>
    <w:rsid w:val="00D07A98"/>
    <w:rsid w:val="00D1051E"/>
    <w:rsid w:val="00D10E5D"/>
    <w:rsid w:val="00D111E8"/>
    <w:rsid w:val="00D126F7"/>
    <w:rsid w:val="00D13F0B"/>
    <w:rsid w:val="00D1421C"/>
    <w:rsid w:val="00D14E45"/>
    <w:rsid w:val="00D15254"/>
    <w:rsid w:val="00D15898"/>
    <w:rsid w:val="00D15C2C"/>
    <w:rsid w:val="00D17717"/>
    <w:rsid w:val="00D178A2"/>
    <w:rsid w:val="00D17A6D"/>
    <w:rsid w:val="00D17C1E"/>
    <w:rsid w:val="00D206FB"/>
    <w:rsid w:val="00D225C6"/>
    <w:rsid w:val="00D2535E"/>
    <w:rsid w:val="00D2539B"/>
    <w:rsid w:val="00D26D61"/>
    <w:rsid w:val="00D30D9D"/>
    <w:rsid w:val="00D31A41"/>
    <w:rsid w:val="00D33D57"/>
    <w:rsid w:val="00D345FE"/>
    <w:rsid w:val="00D34894"/>
    <w:rsid w:val="00D3562B"/>
    <w:rsid w:val="00D36710"/>
    <w:rsid w:val="00D378E5"/>
    <w:rsid w:val="00D405DE"/>
    <w:rsid w:val="00D409C8"/>
    <w:rsid w:val="00D40BA8"/>
    <w:rsid w:val="00D424F3"/>
    <w:rsid w:val="00D4255E"/>
    <w:rsid w:val="00D42910"/>
    <w:rsid w:val="00D432A4"/>
    <w:rsid w:val="00D44B83"/>
    <w:rsid w:val="00D44CF5"/>
    <w:rsid w:val="00D4523A"/>
    <w:rsid w:val="00D452A9"/>
    <w:rsid w:val="00D4605B"/>
    <w:rsid w:val="00D468C7"/>
    <w:rsid w:val="00D516AE"/>
    <w:rsid w:val="00D51CA3"/>
    <w:rsid w:val="00D53C27"/>
    <w:rsid w:val="00D54213"/>
    <w:rsid w:val="00D55D92"/>
    <w:rsid w:val="00D55E6C"/>
    <w:rsid w:val="00D56EC3"/>
    <w:rsid w:val="00D600A3"/>
    <w:rsid w:val="00D601AC"/>
    <w:rsid w:val="00D60E00"/>
    <w:rsid w:val="00D61EA8"/>
    <w:rsid w:val="00D62283"/>
    <w:rsid w:val="00D624D4"/>
    <w:rsid w:val="00D62B83"/>
    <w:rsid w:val="00D6304D"/>
    <w:rsid w:val="00D6322B"/>
    <w:rsid w:val="00D63482"/>
    <w:rsid w:val="00D63A0B"/>
    <w:rsid w:val="00D63B6C"/>
    <w:rsid w:val="00D63C17"/>
    <w:rsid w:val="00D63D9C"/>
    <w:rsid w:val="00D64827"/>
    <w:rsid w:val="00D6488B"/>
    <w:rsid w:val="00D65590"/>
    <w:rsid w:val="00D65A65"/>
    <w:rsid w:val="00D65FFA"/>
    <w:rsid w:val="00D66081"/>
    <w:rsid w:val="00D6735D"/>
    <w:rsid w:val="00D701BF"/>
    <w:rsid w:val="00D70363"/>
    <w:rsid w:val="00D706B4"/>
    <w:rsid w:val="00D712F1"/>
    <w:rsid w:val="00D717FD"/>
    <w:rsid w:val="00D71C55"/>
    <w:rsid w:val="00D72008"/>
    <w:rsid w:val="00D720A9"/>
    <w:rsid w:val="00D7228C"/>
    <w:rsid w:val="00D72543"/>
    <w:rsid w:val="00D72E2C"/>
    <w:rsid w:val="00D73159"/>
    <w:rsid w:val="00D732FA"/>
    <w:rsid w:val="00D73E36"/>
    <w:rsid w:val="00D73F13"/>
    <w:rsid w:val="00D73FA4"/>
    <w:rsid w:val="00D7492B"/>
    <w:rsid w:val="00D7702F"/>
    <w:rsid w:val="00D776B6"/>
    <w:rsid w:val="00D77CC4"/>
    <w:rsid w:val="00D80703"/>
    <w:rsid w:val="00D808F5"/>
    <w:rsid w:val="00D80FE2"/>
    <w:rsid w:val="00D810B7"/>
    <w:rsid w:val="00D8164F"/>
    <w:rsid w:val="00D823E8"/>
    <w:rsid w:val="00D834EB"/>
    <w:rsid w:val="00D83BB1"/>
    <w:rsid w:val="00D85332"/>
    <w:rsid w:val="00D859A2"/>
    <w:rsid w:val="00D86620"/>
    <w:rsid w:val="00D8698F"/>
    <w:rsid w:val="00D86A68"/>
    <w:rsid w:val="00D87138"/>
    <w:rsid w:val="00D87360"/>
    <w:rsid w:val="00D87C07"/>
    <w:rsid w:val="00D901C3"/>
    <w:rsid w:val="00D9061C"/>
    <w:rsid w:val="00D90982"/>
    <w:rsid w:val="00D90B8D"/>
    <w:rsid w:val="00D90EF1"/>
    <w:rsid w:val="00D91824"/>
    <w:rsid w:val="00D93AAE"/>
    <w:rsid w:val="00D94098"/>
    <w:rsid w:val="00D9491B"/>
    <w:rsid w:val="00D94B19"/>
    <w:rsid w:val="00D9503B"/>
    <w:rsid w:val="00D95D3E"/>
    <w:rsid w:val="00D95F56"/>
    <w:rsid w:val="00D95F63"/>
    <w:rsid w:val="00D963CA"/>
    <w:rsid w:val="00D96501"/>
    <w:rsid w:val="00D96733"/>
    <w:rsid w:val="00D968D9"/>
    <w:rsid w:val="00D96ECF"/>
    <w:rsid w:val="00D97CB0"/>
    <w:rsid w:val="00D97DBF"/>
    <w:rsid w:val="00D97F85"/>
    <w:rsid w:val="00DA1980"/>
    <w:rsid w:val="00DA2191"/>
    <w:rsid w:val="00DA279C"/>
    <w:rsid w:val="00DA33BC"/>
    <w:rsid w:val="00DA3C64"/>
    <w:rsid w:val="00DA45A4"/>
    <w:rsid w:val="00DA494E"/>
    <w:rsid w:val="00DA4C44"/>
    <w:rsid w:val="00DA5558"/>
    <w:rsid w:val="00DA630F"/>
    <w:rsid w:val="00DA6821"/>
    <w:rsid w:val="00DA70BA"/>
    <w:rsid w:val="00DA774C"/>
    <w:rsid w:val="00DA7F4F"/>
    <w:rsid w:val="00DB08B8"/>
    <w:rsid w:val="00DB12A5"/>
    <w:rsid w:val="00DB1686"/>
    <w:rsid w:val="00DB1B9E"/>
    <w:rsid w:val="00DB308D"/>
    <w:rsid w:val="00DB3D6F"/>
    <w:rsid w:val="00DB3EF2"/>
    <w:rsid w:val="00DB48DF"/>
    <w:rsid w:val="00DB4F2B"/>
    <w:rsid w:val="00DB4F6C"/>
    <w:rsid w:val="00DB62D4"/>
    <w:rsid w:val="00DB68AE"/>
    <w:rsid w:val="00DB6D71"/>
    <w:rsid w:val="00DB6E6F"/>
    <w:rsid w:val="00DC0C00"/>
    <w:rsid w:val="00DC1536"/>
    <w:rsid w:val="00DC2FA9"/>
    <w:rsid w:val="00DC4511"/>
    <w:rsid w:val="00DC65AA"/>
    <w:rsid w:val="00DC72F6"/>
    <w:rsid w:val="00DC74C6"/>
    <w:rsid w:val="00DC7541"/>
    <w:rsid w:val="00DC7A04"/>
    <w:rsid w:val="00DC7B49"/>
    <w:rsid w:val="00DC7CB0"/>
    <w:rsid w:val="00DD015B"/>
    <w:rsid w:val="00DD03BC"/>
    <w:rsid w:val="00DD0E77"/>
    <w:rsid w:val="00DD149A"/>
    <w:rsid w:val="00DD1573"/>
    <w:rsid w:val="00DD1619"/>
    <w:rsid w:val="00DD1E6E"/>
    <w:rsid w:val="00DD22CC"/>
    <w:rsid w:val="00DD22D5"/>
    <w:rsid w:val="00DD28C5"/>
    <w:rsid w:val="00DD3ADA"/>
    <w:rsid w:val="00DD43E8"/>
    <w:rsid w:val="00DD47C8"/>
    <w:rsid w:val="00DD493D"/>
    <w:rsid w:val="00DD508F"/>
    <w:rsid w:val="00DD5B57"/>
    <w:rsid w:val="00DD7121"/>
    <w:rsid w:val="00DD712D"/>
    <w:rsid w:val="00DD728A"/>
    <w:rsid w:val="00DD7CA9"/>
    <w:rsid w:val="00DE1220"/>
    <w:rsid w:val="00DE233F"/>
    <w:rsid w:val="00DE3A59"/>
    <w:rsid w:val="00DE455B"/>
    <w:rsid w:val="00DE5979"/>
    <w:rsid w:val="00DE59DF"/>
    <w:rsid w:val="00DE5E84"/>
    <w:rsid w:val="00DE6711"/>
    <w:rsid w:val="00DE706E"/>
    <w:rsid w:val="00DE76AF"/>
    <w:rsid w:val="00DE79E7"/>
    <w:rsid w:val="00DF0D61"/>
    <w:rsid w:val="00DF1713"/>
    <w:rsid w:val="00DF2BD2"/>
    <w:rsid w:val="00DF3B40"/>
    <w:rsid w:val="00DF3C15"/>
    <w:rsid w:val="00DF4274"/>
    <w:rsid w:val="00DF42BC"/>
    <w:rsid w:val="00DF515B"/>
    <w:rsid w:val="00DF6237"/>
    <w:rsid w:val="00DF6A9F"/>
    <w:rsid w:val="00DF7653"/>
    <w:rsid w:val="00DF77E9"/>
    <w:rsid w:val="00DF79FC"/>
    <w:rsid w:val="00E00A75"/>
    <w:rsid w:val="00E00B2D"/>
    <w:rsid w:val="00E0114B"/>
    <w:rsid w:val="00E01A54"/>
    <w:rsid w:val="00E02B99"/>
    <w:rsid w:val="00E03732"/>
    <w:rsid w:val="00E03CD9"/>
    <w:rsid w:val="00E03DE0"/>
    <w:rsid w:val="00E04D64"/>
    <w:rsid w:val="00E05C2E"/>
    <w:rsid w:val="00E06C64"/>
    <w:rsid w:val="00E07AC9"/>
    <w:rsid w:val="00E10888"/>
    <w:rsid w:val="00E10C6A"/>
    <w:rsid w:val="00E11EE8"/>
    <w:rsid w:val="00E13EC1"/>
    <w:rsid w:val="00E14813"/>
    <w:rsid w:val="00E15310"/>
    <w:rsid w:val="00E1581E"/>
    <w:rsid w:val="00E15A5F"/>
    <w:rsid w:val="00E160CD"/>
    <w:rsid w:val="00E16297"/>
    <w:rsid w:val="00E165B9"/>
    <w:rsid w:val="00E20BC4"/>
    <w:rsid w:val="00E21628"/>
    <w:rsid w:val="00E21C48"/>
    <w:rsid w:val="00E2381C"/>
    <w:rsid w:val="00E2440C"/>
    <w:rsid w:val="00E24465"/>
    <w:rsid w:val="00E24B76"/>
    <w:rsid w:val="00E25211"/>
    <w:rsid w:val="00E25D10"/>
    <w:rsid w:val="00E262AB"/>
    <w:rsid w:val="00E2633A"/>
    <w:rsid w:val="00E27962"/>
    <w:rsid w:val="00E301C7"/>
    <w:rsid w:val="00E301D7"/>
    <w:rsid w:val="00E308FD"/>
    <w:rsid w:val="00E30AAA"/>
    <w:rsid w:val="00E325BE"/>
    <w:rsid w:val="00E32A84"/>
    <w:rsid w:val="00E3323B"/>
    <w:rsid w:val="00E33296"/>
    <w:rsid w:val="00E334C6"/>
    <w:rsid w:val="00E3422A"/>
    <w:rsid w:val="00E3584E"/>
    <w:rsid w:val="00E35EDF"/>
    <w:rsid w:val="00E3669A"/>
    <w:rsid w:val="00E36D7F"/>
    <w:rsid w:val="00E401B5"/>
    <w:rsid w:val="00E4088E"/>
    <w:rsid w:val="00E415CF"/>
    <w:rsid w:val="00E415F8"/>
    <w:rsid w:val="00E418A4"/>
    <w:rsid w:val="00E420C9"/>
    <w:rsid w:val="00E423C7"/>
    <w:rsid w:val="00E428EE"/>
    <w:rsid w:val="00E446EB"/>
    <w:rsid w:val="00E44F1F"/>
    <w:rsid w:val="00E452CA"/>
    <w:rsid w:val="00E458FF"/>
    <w:rsid w:val="00E4672D"/>
    <w:rsid w:val="00E47C26"/>
    <w:rsid w:val="00E507E9"/>
    <w:rsid w:val="00E50F3E"/>
    <w:rsid w:val="00E50F82"/>
    <w:rsid w:val="00E5124E"/>
    <w:rsid w:val="00E51EEA"/>
    <w:rsid w:val="00E521B7"/>
    <w:rsid w:val="00E53117"/>
    <w:rsid w:val="00E553A9"/>
    <w:rsid w:val="00E561EA"/>
    <w:rsid w:val="00E56EB6"/>
    <w:rsid w:val="00E60196"/>
    <w:rsid w:val="00E60C83"/>
    <w:rsid w:val="00E60D7F"/>
    <w:rsid w:val="00E616AA"/>
    <w:rsid w:val="00E6177F"/>
    <w:rsid w:val="00E61DF0"/>
    <w:rsid w:val="00E62646"/>
    <w:rsid w:val="00E626C6"/>
    <w:rsid w:val="00E629C5"/>
    <w:rsid w:val="00E62AE9"/>
    <w:rsid w:val="00E640C6"/>
    <w:rsid w:val="00E641CB"/>
    <w:rsid w:val="00E64491"/>
    <w:rsid w:val="00E665D6"/>
    <w:rsid w:val="00E67357"/>
    <w:rsid w:val="00E67636"/>
    <w:rsid w:val="00E67908"/>
    <w:rsid w:val="00E7019F"/>
    <w:rsid w:val="00E70C37"/>
    <w:rsid w:val="00E70C64"/>
    <w:rsid w:val="00E70D04"/>
    <w:rsid w:val="00E719C1"/>
    <w:rsid w:val="00E72259"/>
    <w:rsid w:val="00E72EA0"/>
    <w:rsid w:val="00E7302C"/>
    <w:rsid w:val="00E73266"/>
    <w:rsid w:val="00E7384A"/>
    <w:rsid w:val="00E73C0D"/>
    <w:rsid w:val="00E746F8"/>
    <w:rsid w:val="00E75455"/>
    <w:rsid w:val="00E75D45"/>
    <w:rsid w:val="00E760BE"/>
    <w:rsid w:val="00E770F0"/>
    <w:rsid w:val="00E77A30"/>
    <w:rsid w:val="00E77CCB"/>
    <w:rsid w:val="00E80262"/>
    <w:rsid w:val="00E810AB"/>
    <w:rsid w:val="00E816A3"/>
    <w:rsid w:val="00E81B72"/>
    <w:rsid w:val="00E81BF6"/>
    <w:rsid w:val="00E84B76"/>
    <w:rsid w:val="00E84D66"/>
    <w:rsid w:val="00E85256"/>
    <w:rsid w:val="00E86FBA"/>
    <w:rsid w:val="00E877CD"/>
    <w:rsid w:val="00E9092C"/>
    <w:rsid w:val="00E90B9D"/>
    <w:rsid w:val="00E90F47"/>
    <w:rsid w:val="00E9165B"/>
    <w:rsid w:val="00E91AC9"/>
    <w:rsid w:val="00E923BB"/>
    <w:rsid w:val="00E924CD"/>
    <w:rsid w:val="00E928A4"/>
    <w:rsid w:val="00E92B58"/>
    <w:rsid w:val="00E932DE"/>
    <w:rsid w:val="00E93481"/>
    <w:rsid w:val="00E9373F"/>
    <w:rsid w:val="00E94206"/>
    <w:rsid w:val="00E94865"/>
    <w:rsid w:val="00E952D7"/>
    <w:rsid w:val="00E9555B"/>
    <w:rsid w:val="00E95CF3"/>
    <w:rsid w:val="00E962BE"/>
    <w:rsid w:val="00E962DF"/>
    <w:rsid w:val="00E9665F"/>
    <w:rsid w:val="00E96ACF"/>
    <w:rsid w:val="00E96C1A"/>
    <w:rsid w:val="00E97681"/>
    <w:rsid w:val="00E97778"/>
    <w:rsid w:val="00E97C7B"/>
    <w:rsid w:val="00E97D5C"/>
    <w:rsid w:val="00EA0665"/>
    <w:rsid w:val="00EA0822"/>
    <w:rsid w:val="00EA09BA"/>
    <w:rsid w:val="00EA0BE9"/>
    <w:rsid w:val="00EA14DA"/>
    <w:rsid w:val="00EA1615"/>
    <w:rsid w:val="00EA20C3"/>
    <w:rsid w:val="00EA2B31"/>
    <w:rsid w:val="00EA2D90"/>
    <w:rsid w:val="00EA345B"/>
    <w:rsid w:val="00EA360E"/>
    <w:rsid w:val="00EA3FE6"/>
    <w:rsid w:val="00EA45E0"/>
    <w:rsid w:val="00EA4C2A"/>
    <w:rsid w:val="00EA5F1D"/>
    <w:rsid w:val="00EA6923"/>
    <w:rsid w:val="00EA6978"/>
    <w:rsid w:val="00EA737A"/>
    <w:rsid w:val="00EA7A8C"/>
    <w:rsid w:val="00EB046D"/>
    <w:rsid w:val="00EB0E86"/>
    <w:rsid w:val="00EB2D21"/>
    <w:rsid w:val="00EB2EF3"/>
    <w:rsid w:val="00EB31A5"/>
    <w:rsid w:val="00EB484F"/>
    <w:rsid w:val="00EB55F4"/>
    <w:rsid w:val="00EB5722"/>
    <w:rsid w:val="00EB5F02"/>
    <w:rsid w:val="00EB6E2A"/>
    <w:rsid w:val="00EB6F67"/>
    <w:rsid w:val="00EB7427"/>
    <w:rsid w:val="00EC0949"/>
    <w:rsid w:val="00EC0E40"/>
    <w:rsid w:val="00EC166C"/>
    <w:rsid w:val="00EC215B"/>
    <w:rsid w:val="00EC2FA1"/>
    <w:rsid w:val="00EC3492"/>
    <w:rsid w:val="00EC4297"/>
    <w:rsid w:val="00EC5603"/>
    <w:rsid w:val="00EC5FE5"/>
    <w:rsid w:val="00ED0805"/>
    <w:rsid w:val="00ED0C2E"/>
    <w:rsid w:val="00ED16C1"/>
    <w:rsid w:val="00ED1E83"/>
    <w:rsid w:val="00ED35CB"/>
    <w:rsid w:val="00ED4DF8"/>
    <w:rsid w:val="00ED794A"/>
    <w:rsid w:val="00EE1B71"/>
    <w:rsid w:val="00EE2CE4"/>
    <w:rsid w:val="00EE2D15"/>
    <w:rsid w:val="00EE48EC"/>
    <w:rsid w:val="00EE497D"/>
    <w:rsid w:val="00EE4B45"/>
    <w:rsid w:val="00EE672B"/>
    <w:rsid w:val="00EE72FB"/>
    <w:rsid w:val="00EE7306"/>
    <w:rsid w:val="00EE76D5"/>
    <w:rsid w:val="00EF08F5"/>
    <w:rsid w:val="00EF0E0F"/>
    <w:rsid w:val="00EF13B2"/>
    <w:rsid w:val="00EF1644"/>
    <w:rsid w:val="00EF17FC"/>
    <w:rsid w:val="00EF24CF"/>
    <w:rsid w:val="00EF2D0C"/>
    <w:rsid w:val="00EF34F3"/>
    <w:rsid w:val="00EF370F"/>
    <w:rsid w:val="00EF3849"/>
    <w:rsid w:val="00EF4C8A"/>
    <w:rsid w:val="00EF5073"/>
    <w:rsid w:val="00EF55C5"/>
    <w:rsid w:val="00EF5819"/>
    <w:rsid w:val="00EF62A3"/>
    <w:rsid w:val="00EF6D13"/>
    <w:rsid w:val="00EF6F48"/>
    <w:rsid w:val="00EF71DC"/>
    <w:rsid w:val="00EF7202"/>
    <w:rsid w:val="00EF72A1"/>
    <w:rsid w:val="00EF7B6C"/>
    <w:rsid w:val="00F005CC"/>
    <w:rsid w:val="00F012DA"/>
    <w:rsid w:val="00F01795"/>
    <w:rsid w:val="00F021F6"/>
    <w:rsid w:val="00F0323D"/>
    <w:rsid w:val="00F03964"/>
    <w:rsid w:val="00F044AB"/>
    <w:rsid w:val="00F04B30"/>
    <w:rsid w:val="00F05022"/>
    <w:rsid w:val="00F052BA"/>
    <w:rsid w:val="00F0536B"/>
    <w:rsid w:val="00F06168"/>
    <w:rsid w:val="00F06240"/>
    <w:rsid w:val="00F0750A"/>
    <w:rsid w:val="00F1070A"/>
    <w:rsid w:val="00F1160C"/>
    <w:rsid w:val="00F11EBF"/>
    <w:rsid w:val="00F11EE4"/>
    <w:rsid w:val="00F12E54"/>
    <w:rsid w:val="00F1366B"/>
    <w:rsid w:val="00F13CA3"/>
    <w:rsid w:val="00F15AD8"/>
    <w:rsid w:val="00F164E7"/>
    <w:rsid w:val="00F16712"/>
    <w:rsid w:val="00F17FE5"/>
    <w:rsid w:val="00F20170"/>
    <w:rsid w:val="00F20D5F"/>
    <w:rsid w:val="00F215BF"/>
    <w:rsid w:val="00F21838"/>
    <w:rsid w:val="00F22164"/>
    <w:rsid w:val="00F22FD8"/>
    <w:rsid w:val="00F23483"/>
    <w:rsid w:val="00F239C6"/>
    <w:rsid w:val="00F240E3"/>
    <w:rsid w:val="00F243B6"/>
    <w:rsid w:val="00F25707"/>
    <w:rsid w:val="00F2579F"/>
    <w:rsid w:val="00F2599D"/>
    <w:rsid w:val="00F25AA4"/>
    <w:rsid w:val="00F25C1F"/>
    <w:rsid w:val="00F26241"/>
    <w:rsid w:val="00F27530"/>
    <w:rsid w:val="00F27AC8"/>
    <w:rsid w:val="00F27CA0"/>
    <w:rsid w:val="00F27F3B"/>
    <w:rsid w:val="00F3017C"/>
    <w:rsid w:val="00F30B18"/>
    <w:rsid w:val="00F311E9"/>
    <w:rsid w:val="00F323A6"/>
    <w:rsid w:val="00F32C00"/>
    <w:rsid w:val="00F33353"/>
    <w:rsid w:val="00F34196"/>
    <w:rsid w:val="00F34200"/>
    <w:rsid w:val="00F35B5F"/>
    <w:rsid w:val="00F35DAF"/>
    <w:rsid w:val="00F35F3A"/>
    <w:rsid w:val="00F3601C"/>
    <w:rsid w:val="00F360C1"/>
    <w:rsid w:val="00F3621E"/>
    <w:rsid w:val="00F36933"/>
    <w:rsid w:val="00F37FC3"/>
    <w:rsid w:val="00F41036"/>
    <w:rsid w:val="00F4265D"/>
    <w:rsid w:val="00F42AD7"/>
    <w:rsid w:val="00F44861"/>
    <w:rsid w:val="00F44B5C"/>
    <w:rsid w:val="00F45735"/>
    <w:rsid w:val="00F45A25"/>
    <w:rsid w:val="00F45C48"/>
    <w:rsid w:val="00F46E90"/>
    <w:rsid w:val="00F5052D"/>
    <w:rsid w:val="00F50724"/>
    <w:rsid w:val="00F51032"/>
    <w:rsid w:val="00F51F61"/>
    <w:rsid w:val="00F533FB"/>
    <w:rsid w:val="00F55181"/>
    <w:rsid w:val="00F554CC"/>
    <w:rsid w:val="00F5565B"/>
    <w:rsid w:val="00F56AB3"/>
    <w:rsid w:val="00F56E68"/>
    <w:rsid w:val="00F57302"/>
    <w:rsid w:val="00F60E41"/>
    <w:rsid w:val="00F61250"/>
    <w:rsid w:val="00F615A2"/>
    <w:rsid w:val="00F6184B"/>
    <w:rsid w:val="00F61DCB"/>
    <w:rsid w:val="00F61FA8"/>
    <w:rsid w:val="00F625AF"/>
    <w:rsid w:val="00F62B02"/>
    <w:rsid w:val="00F63533"/>
    <w:rsid w:val="00F63A53"/>
    <w:rsid w:val="00F6466C"/>
    <w:rsid w:val="00F66998"/>
    <w:rsid w:val="00F675CF"/>
    <w:rsid w:val="00F67E18"/>
    <w:rsid w:val="00F704C5"/>
    <w:rsid w:val="00F710CC"/>
    <w:rsid w:val="00F71745"/>
    <w:rsid w:val="00F72644"/>
    <w:rsid w:val="00F728C8"/>
    <w:rsid w:val="00F72F46"/>
    <w:rsid w:val="00F74D5D"/>
    <w:rsid w:val="00F75913"/>
    <w:rsid w:val="00F7628B"/>
    <w:rsid w:val="00F76692"/>
    <w:rsid w:val="00F801D8"/>
    <w:rsid w:val="00F81247"/>
    <w:rsid w:val="00F8150B"/>
    <w:rsid w:val="00F82AC2"/>
    <w:rsid w:val="00F82D4F"/>
    <w:rsid w:val="00F82DBE"/>
    <w:rsid w:val="00F83064"/>
    <w:rsid w:val="00F8367B"/>
    <w:rsid w:val="00F84D9C"/>
    <w:rsid w:val="00F84E6E"/>
    <w:rsid w:val="00F852F9"/>
    <w:rsid w:val="00F859FC"/>
    <w:rsid w:val="00F85FEC"/>
    <w:rsid w:val="00F8631D"/>
    <w:rsid w:val="00F864D2"/>
    <w:rsid w:val="00F87095"/>
    <w:rsid w:val="00F875B6"/>
    <w:rsid w:val="00F87C6B"/>
    <w:rsid w:val="00F87D42"/>
    <w:rsid w:val="00F87F17"/>
    <w:rsid w:val="00F92345"/>
    <w:rsid w:val="00F92591"/>
    <w:rsid w:val="00F930A1"/>
    <w:rsid w:val="00F93243"/>
    <w:rsid w:val="00F93BC6"/>
    <w:rsid w:val="00F93D2D"/>
    <w:rsid w:val="00F94B9F"/>
    <w:rsid w:val="00F94D55"/>
    <w:rsid w:val="00F95429"/>
    <w:rsid w:val="00F958FE"/>
    <w:rsid w:val="00F9625E"/>
    <w:rsid w:val="00F96772"/>
    <w:rsid w:val="00F969C5"/>
    <w:rsid w:val="00F96D70"/>
    <w:rsid w:val="00F97D71"/>
    <w:rsid w:val="00FA149D"/>
    <w:rsid w:val="00FA1B2F"/>
    <w:rsid w:val="00FA1D86"/>
    <w:rsid w:val="00FA2353"/>
    <w:rsid w:val="00FA2795"/>
    <w:rsid w:val="00FA2D8B"/>
    <w:rsid w:val="00FA2ECD"/>
    <w:rsid w:val="00FA5686"/>
    <w:rsid w:val="00FA5BBA"/>
    <w:rsid w:val="00FA5C85"/>
    <w:rsid w:val="00FA5CF7"/>
    <w:rsid w:val="00FA6821"/>
    <w:rsid w:val="00FA6F82"/>
    <w:rsid w:val="00FB02C2"/>
    <w:rsid w:val="00FB05ED"/>
    <w:rsid w:val="00FB098F"/>
    <w:rsid w:val="00FB0B60"/>
    <w:rsid w:val="00FB1D58"/>
    <w:rsid w:val="00FB213B"/>
    <w:rsid w:val="00FB25EF"/>
    <w:rsid w:val="00FB281E"/>
    <w:rsid w:val="00FB2D17"/>
    <w:rsid w:val="00FB3667"/>
    <w:rsid w:val="00FB40EB"/>
    <w:rsid w:val="00FB424B"/>
    <w:rsid w:val="00FB43B5"/>
    <w:rsid w:val="00FB4700"/>
    <w:rsid w:val="00FB4909"/>
    <w:rsid w:val="00FB53C7"/>
    <w:rsid w:val="00FB5E3E"/>
    <w:rsid w:val="00FB5F74"/>
    <w:rsid w:val="00FB60B1"/>
    <w:rsid w:val="00FB7CAD"/>
    <w:rsid w:val="00FC0106"/>
    <w:rsid w:val="00FC0145"/>
    <w:rsid w:val="00FC050D"/>
    <w:rsid w:val="00FC19F4"/>
    <w:rsid w:val="00FC3271"/>
    <w:rsid w:val="00FC36C9"/>
    <w:rsid w:val="00FC36D1"/>
    <w:rsid w:val="00FC4249"/>
    <w:rsid w:val="00FC4540"/>
    <w:rsid w:val="00FC5284"/>
    <w:rsid w:val="00FC5D33"/>
    <w:rsid w:val="00FC63F6"/>
    <w:rsid w:val="00FC6EBC"/>
    <w:rsid w:val="00FC7A5B"/>
    <w:rsid w:val="00FC7CCF"/>
    <w:rsid w:val="00FD00DF"/>
    <w:rsid w:val="00FD07F9"/>
    <w:rsid w:val="00FD114D"/>
    <w:rsid w:val="00FD1D90"/>
    <w:rsid w:val="00FD1ED1"/>
    <w:rsid w:val="00FD2017"/>
    <w:rsid w:val="00FD2150"/>
    <w:rsid w:val="00FD2220"/>
    <w:rsid w:val="00FD3BDA"/>
    <w:rsid w:val="00FD5580"/>
    <w:rsid w:val="00FE089F"/>
    <w:rsid w:val="00FE0AC0"/>
    <w:rsid w:val="00FE1130"/>
    <w:rsid w:val="00FE2683"/>
    <w:rsid w:val="00FE2BD1"/>
    <w:rsid w:val="00FE2C6A"/>
    <w:rsid w:val="00FE2F05"/>
    <w:rsid w:val="00FE3200"/>
    <w:rsid w:val="00FE3B3D"/>
    <w:rsid w:val="00FE404E"/>
    <w:rsid w:val="00FE4DCB"/>
    <w:rsid w:val="00FE4E60"/>
    <w:rsid w:val="00FE5116"/>
    <w:rsid w:val="00FE619E"/>
    <w:rsid w:val="00FE67D0"/>
    <w:rsid w:val="00FE6BD3"/>
    <w:rsid w:val="00FE7837"/>
    <w:rsid w:val="00FE7DE7"/>
    <w:rsid w:val="00FF0020"/>
    <w:rsid w:val="00FF160B"/>
    <w:rsid w:val="00FF2189"/>
    <w:rsid w:val="00FF422E"/>
    <w:rsid w:val="00FF4E80"/>
    <w:rsid w:val="00FF50C0"/>
    <w:rsid w:val="00FF6E66"/>
    <w:rsid w:val="00FF7DAF"/>
    <w:rsid w:val="00FF7E74"/>
    <w:rsid w:val="00FF7E8F"/>
    <w:rsid w:val="014E4831"/>
    <w:rsid w:val="0179697A"/>
    <w:rsid w:val="019E7D1C"/>
    <w:rsid w:val="01BA73E4"/>
    <w:rsid w:val="01BC61A4"/>
    <w:rsid w:val="01FB23CB"/>
    <w:rsid w:val="021F05F1"/>
    <w:rsid w:val="026D06C4"/>
    <w:rsid w:val="026D5C3B"/>
    <w:rsid w:val="029370C7"/>
    <w:rsid w:val="029E0CDB"/>
    <w:rsid w:val="02C60B85"/>
    <w:rsid w:val="02EA7AD6"/>
    <w:rsid w:val="035D4E5C"/>
    <w:rsid w:val="035F495A"/>
    <w:rsid w:val="0378063E"/>
    <w:rsid w:val="03970EF3"/>
    <w:rsid w:val="03AD5615"/>
    <w:rsid w:val="03C74FAA"/>
    <w:rsid w:val="03EE1902"/>
    <w:rsid w:val="04172F17"/>
    <w:rsid w:val="043A3826"/>
    <w:rsid w:val="04716658"/>
    <w:rsid w:val="047B6902"/>
    <w:rsid w:val="049C2D1F"/>
    <w:rsid w:val="04B270C1"/>
    <w:rsid w:val="04DD3789"/>
    <w:rsid w:val="04F33BB5"/>
    <w:rsid w:val="0543283E"/>
    <w:rsid w:val="055E085F"/>
    <w:rsid w:val="055F62E0"/>
    <w:rsid w:val="05754C01"/>
    <w:rsid w:val="05B5126E"/>
    <w:rsid w:val="05D77224"/>
    <w:rsid w:val="063D26DA"/>
    <w:rsid w:val="06A86D2D"/>
    <w:rsid w:val="06CA1DEC"/>
    <w:rsid w:val="07071B14"/>
    <w:rsid w:val="07277E4A"/>
    <w:rsid w:val="073161DB"/>
    <w:rsid w:val="076808B4"/>
    <w:rsid w:val="078A686A"/>
    <w:rsid w:val="07C06D44"/>
    <w:rsid w:val="07CA2ED7"/>
    <w:rsid w:val="08575FBE"/>
    <w:rsid w:val="089049A4"/>
    <w:rsid w:val="08C52D6F"/>
    <w:rsid w:val="091A3AFD"/>
    <w:rsid w:val="091E4E53"/>
    <w:rsid w:val="093B1AB4"/>
    <w:rsid w:val="095B7DEA"/>
    <w:rsid w:val="0965414B"/>
    <w:rsid w:val="0971450C"/>
    <w:rsid w:val="0972418C"/>
    <w:rsid w:val="098708AE"/>
    <w:rsid w:val="098F68DA"/>
    <w:rsid w:val="09926C3F"/>
    <w:rsid w:val="09937F44"/>
    <w:rsid w:val="09D50F7A"/>
    <w:rsid w:val="09FE75F3"/>
    <w:rsid w:val="0A1E592A"/>
    <w:rsid w:val="0A2055A9"/>
    <w:rsid w:val="0A616013"/>
    <w:rsid w:val="0A765FB8"/>
    <w:rsid w:val="0A810780"/>
    <w:rsid w:val="0A824B7C"/>
    <w:rsid w:val="0A83153C"/>
    <w:rsid w:val="0A916353"/>
    <w:rsid w:val="0AAC0A11"/>
    <w:rsid w:val="0AC72F50"/>
    <w:rsid w:val="0ACD69C7"/>
    <w:rsid w:val="0AED4CFD"/>
    <w:rsid w:val="0AEE277F"/>
    <w:rsid w:val="0B393AF8"/>
    <w:rsid w:val="0B3A7A6C"/>
    <w:rsid w:val="0B52126F"/>
    <w:rsid w:val="0B7B1F32"/>
    <w:rsid w:val="0B993BD7"/>
    <w:rsid w:val="0BE71301"/>
    <w:rsid w:val="0C281202"/>
    <w:rsid w:val="0C323D10"/>
    <w:rsid w:val="0C3D5924"/>
    <w:rsid w:val="0C7F1C11"/>
    <w:rsid w:val="0C9363D2"/>
    <w:rsid w:val="0CD6481E"/>
    <w:rsid w:val="0CE51EE5"/>
    <w:rsid w:val="0CFC670C"/>
    <w:rsid w:val="0D4C5AE1"/>
    <w:rsid w:val="0D4F31E3"/>
    <w:rsid w:val="0D554593"/>
    <w:rsid w:val="0D591574"/>
    <w:rsid w:val="0D6D0214"/>
    <w:rsid w:val="0D8301BA"/>
    <w:rsid w:val="0D845C3B"/>
    <w:rsid w:val="0DA04E3E"/>
    <w:rsid w:val="0DA601C5"/>
    <w:rsid w:val="0DBB0313"/>
    <w:rsid w:val="0DC40C23"/>
    <w:rsid w:val="0DC444A6"/>
    <w:rsid w:val="0DCF2837"/>
    <w:rsid w:val="0DDA0BC8"/>
    <w:rsid w:val="0DFB6B7F"/>
    <w:rsid w:val="0E1B1632"/>
    <w:rsid w:val="0E221D50"/>
    <w:rsid w:val="0E3D39D4"/>
    <w:rsid w:val="0E722040"/>
    <w:rsid w:val="0E7D3C55"/>
    <w:rsid w:val="0EA97F9C"/>
    <w:rsid w:val="0EC904D1"/>
    <w:rsid w:val="0EF56D96"/>
    <w:rsid w:val="0EFF09AB"/>
    <w:rsid w:val="0F025DCB"/>
    <w:rsid w:val="0F2A064D"/>
    <w:rsid w:val="0F342E19"/>
    <w:rsid w:val="0F411414"/>
    <w:rsid w:val="0F6B5ADC"/>
    <w:rsid w:val="0FAD1DC8"/>
    <w:rsid w:val="0FB0431D"/>
    <w:rsid w:val="0FB70159"/>
    <w:rsid w:val="10036F54"/>
    <w:rsid w:val="1030329B"/>
    <w:rsid w:val="103A162C"/>
    <w:rsid w:val="10571C70"/>
    <w:rsid w:val="10705587"/>
    <w:rsid w:val="107D339A"/>
    <w:rsid w:val="109C3C4F"/>
    <w:rsid w:val="10A61FE0"/>
    <w:rsid w:val="10B10371"/>
    <w:rsid w:val="10E82A49"/>
    <w:rsid w:val="10F20DDB"/>
    <w:rsid w:val="115E178F"/>
    <w:rsid w:val="11C101AE"/>
    <w:rsid w:val="11D70154"/>
    <w:rsid w:val="12160F3D"/>
    <w:rsid w:val="124D3615"/>
    <w:rsid w:val="12591626"/>
    <w:rsid w:val="12A44024"/>
    <w:rsid w:val="12C67A5C"/>
    <w:rsid w:val="12E27FCA"/>
    <w:rsid w:val="13270D7A"/>
    <w:rsid w:val="133C549C"/>
    <w:rsid w:val="13577E6B"/>
    <w:rsid w:val="136817E4"/>
    <w:rsid w:val="137333F8"/>
    <w:rsid w:val="139976F1"/>
    <w:rsid w:val="13D42198"/>
    <w:rsid w:val="14214815"/>
    <w:rsid w:val="144349CA"/>
    <w:rsid w:val="144C52D9"/>
    <w:rsid w:val="145209C9"/>
    <w:rsid w:val="145F0B3D"/>
    <w:rsid w:val="150F2E19"/>
    <w:rsid w:val="15663828"/>
    <w:rsid w:val="159B5473"/>
    <w:rsid w:val="15B21729"/>
    <w:rsid w:val="15C20FB6"/>
    <w:rsid w:val="15D31C5D"/>
    <w:rsid w:val="15E563CE"/>
    <w:rsid w:val="15F77D5D"/>
    <w:rsid w:val="16087E05"/>
    <w:rsid w:val="161E6859"/>
    <w:rsid w:val="168C360A"/>
    <w:rsid w:val="1696199B"/>
    <w:rsid w:val="16A045C8"/>
    <w:rsid w:val="16C16063"/>
    <w:rsid w:val="16F34AA2"/>
    <w:rsid w:val="16FC4FF2"/>
    <w:rsid w:val="17244A82"/>
    <w:rsid w:val="172807D4"/>
    <w:rsid w:val="17394A28"/>
    <w:rsid w:val="17592D5E"/>
    <w:rsid w:val="176E7480"/>
    <w:rsid w:val="17707100"/>
    <w:rsid w:val="17CD1301"/>
    <w:rsid w:val="17DC7AB4"/>
    <w:rsid w:val="17E625C2"/>
    <w:rsid w:val="18345F44"/>
    <w:rsid w:val="185309F7"/>
    <w:rsid w:val="1889564E"/>
    <w:rsid w:val="188A0ED1"/>
    <w:rsid w:val="189439DF"/>
    <w:rsid w:val="18C8188B"/>
    <w:rsid w:val="18E018E0"/>
    <w:rsid w:val="18EB7C71"/>
    <w:rsid w:val="1945464A"/>
    <w:rsid w:val="194C6A11"/>
    <w:rsid w:val="19574DA2"/>
    <w:rsid w:val="19BA322A"/>
    <w:rsid w:val="19BA37C2"/>
    <w:rsid w:val="19C368A9"/>
    <w:rsid w:val="19C41B53"/>
    <w:rsid w:val="19E47E89"/>
    <w:rsid w:val="19EF621A"/>
    <w:rsid w:val="1A2608F3"/>
    <w:rsid w:val="1A3D42B2"/>
    <w:rsid w:val="1A441B2D"/>
    <w:rsid w:val="1A466C29"/>
    <w:rsid w:val="1A48432A"/>
    <w:rsid w:val="1A5A744E"/>
    <w:rsid w:val="1A674BDF"/>
    <w:rsid w:val="1A880997"/>
    <w:rsid w:val="1A9212A7"/>
    <w:rsid w:val="1AB239AF"/>
    <w:rsid w:val="1ADE3924"/>
    <w:rsid w:val="1B0A7C6C"/>
    <w:rsid w:val="1B140089"/>
    <w:rsid w:val="1B155FFD"/>
    <w:rsid w:val="1B2A271F"/>
    <w:rsid w:val="1B322098"/>
    <w:rsid w:val="1B580E1B"/>
    <w:rsid w:val="1BDA39E6"/>
    <w:rsid w:val="1C197E29"/>
    <w:rsid w:val="1C2F1FCD"/>
    <w:rsid w:val="1C57584E"/>
    <w:rsid w:val="1C6F4FB4"/>
    <w:rsid w:val="1CBB7632"/>
    <w:rsid w:val="1CFD009B"/>
    <w:rsid w:val="1CFE13A0"/>
    <w:rsid w:val="1D1E1D0B"/>
    <w:rsid w:val="1D54432D"/>
    <w:rsid w:val="1D5E26BE"/>
    <w:rsid w:val="1D754862"/>
    <w:rsid w:val="1D8B3234"/>
    <w:rsid w:val="1D8B6A06"/>
    <w:rsid w:val="1DAB4D3C"/>
    <w:rsid w:val="1DE13B91"/>
    <w:rsid w:val="1E0C3ADC"/>
    <w:rsid w:val="1E4D4545"/>
    <w:rsid w:val="1E846C1E"/>
    <w:rsid w:val="1F31003B"/>
    <w:rsid w:val="1F33222D"/>
    <w:rsid w:val="1F5C4703"/>
    <w:rsid w:val="1F936DDB"/>
    <w:rsid w:val="1F9D516C"/>
    <w:rsid w:val="1F9D5911"/>
    <w:rsid w:val="1FA86D80"/>
    <w:rsid w:val="1FAB2E62"/>
    <w:rsid w:val="1FCA14B3"/>
    <w:rsid w:val="1FD40D0E"/>
    <w:rsid w:val="1FD552C6"/>
    <w:rsid w:val="200A5B20"/>
    <w:rsid w:val="203778E9"/>
    <w:rsid w:val="204B6589"/>
    <w:rsid w:val="204D2AE8"/>
    <w:rsid w:val="210459B8"/>
    <w:rsid w:val="21452025"/>
    <w:rsid w:val="214F03B6"/>
    <w:rsid w:val="217B46FD"/>
    <w:rsid w:val="217C217E"/>
    <w:rsid w:val="21807CCA"/>
    <w:rsid w:val="218965B6"/>
    <w:rsid w:val="22353B2B"/>
    <w:rsid w:val="223F1EBC"/>
    <w:rsid w:val="224A077C"/>
    <w:rsid w:val="225F01F3"/>
    <w:rsid w:val="22754915"/>
    <w:rsid w:val="22773680"/>
    <w:rsid w:val="22B5337F"/>
    <w:rsid w:val="22CB5324"/>
    <w:rsid w:val="22ED32DA"/>
    <w:rsid w:val="230279FC"/>
    <w:rsid w:val="23225D32"/>
    <w:rsid w:val="23443CE8"/>
    <w:rsid w:val="236536BB"/>
    <w:rsid w:val="23906366"/>
    <w:rsid w:val="23B25134"/>
    <w:rsid w:val="23E76D75"/>
    <w:rsid w:val="240772AA"/>
    <w:rsid w:val="243D3F00"/>
    <w:rsid w:val="24531927"/>
    <w:rsid w:val="24683E4B"/>
    <w:rsid w:val="24952391"/>
    <w:rsid w:val="24955C14"/>
    <w:rsid w:val="24EB0BA1"/>
    <w:rsid w:val="251870E7"/>
    <w:rsid w:val="25285B24"/>
    <w:rsid w:val="252C160A"/>
    <w:rsid w:val="25415D2D"/>
    <w:rsid w:val="254519CA"/>
    <w:rsid w:val="25795BD8"/>
    <w:rsid w:val="25A30350"/>
    <w:rsid w:val="25C94A62"/>
    <w:rsid w:val="25EF714A"/>
    <w:rsid w:val="25F954DB"/>
    <w:rsid w:val="26024DD2"/>
    <w:rsid w:val="26102F02"/>
    <w:rsid w:val="26105100"/>
    <w:rsid w:val="261415CE"/>
    <w:rsid w:val="268705C2"/>
    <w:rsid w:val="26C848AF"/>
    <w:rsid w:val="26CB5CEA"/>
    <w:rsid w:val="26D32C40"/>
    <w:rsid w:val="26DE0FD1"/>
    <w:rsid w:val="273419E0"/>
    <w:rsid w:val="274B7407"/>
    <w:rsid w:val="2752673C"/>
    <w:rsid w:val="278C7E70"/>
    <w:rsid w:val="27901BC1"/>
    <w:rsid w:val="281954D5"/>
    <w:rsid w:val="282E547B"/>
    <w:rsid w:val="283059FA"/>
    <w:rsid w:val="28307FE2"/>
    <w:rsid w:val="284272CC"/>
    <w:rsid w:val="2845181D"/>
    <w:rsid w:val="28855E8A"/>
    <w:rsid w:val="2892191C"/>
    <w:rsid w:val="28C668F3"/>
    <w:rsid w:val="28C725D5"/>
    <w:rsid w:val="28DD6A42"/>
    <w:rsid w:val="28F22C3A"/>
    <w:rsid w:val="28F306BC"/>
    <w:rsid w:val="29084DDE"/>
    <w:rsid w:val="291369F2"/>
    <w:rsid w:val="291D7302"/>
    <w:rsid w:val="293272A7"/>
    <w:rsid w:val="29453572"/>
    <w:rsid w:val="29596B3F"/>
    <w:rsid w:val="295E35EE"/>
    <w:rsid w:val="295E7D6B"/>
    <w:rsid w:val="2969197F"/>
    <w:rsid w:val="29D76728"/>
    <w:rsid w:val="29F71E44"/>
    <w:rsid w:val="2A0C1188"/>
    <w:rsid w:val="2A4370E4"/>
    <w:rsid w:val="2A8F5EDF"/>
    <w:rsid w:val="2ADD3EA5"/>
    <w:rsid w:val="2AE546EF"/>
    <w:rsid w:val="2AE568ED"/>
    <w:rsid w:val="2AF04C7E"/>
    <w:rsid w:val="2AFB6893"/>
    <w:rsid w:val="2B3C72FC"/>
    <w:rsid w:val="2B47568D"/>
    <w:rsid w:val="2B5272A1"/>
    <w:rsid w:val="2B613118"/>
    <w:rsid w:val="2B762613"/>
    <w:rsid w:val="2B9E191F"/>
    <w:rsid w:val="2BA8442D"/>
    <w:rsid w:val="2BBF4052"/>
    <w:rsid w:val="2BD40774"/>
    <w:rsid w:val="2BEB619B"/>
    <w:rsid w:val="2C1B01FD"/>
    <w:rsid w:val="2C312D46"/>
    <w:rsid w:val="2C6073D7"/>
    <w:rsid w:val="2C773801"/>
    <w:rsid w:val="2C8D37A6"/>
    <w:rsid w:val="2CAD0033"/>
    <w:rsid w:val="2CC35E7E"/>
    <w:rsid w:val="2D036C68"/>
    <w:rsid w:val="2D0F4C79"/>
    <w:rsid w:val="2D1026FA"/>
    <w:rsid w:val="2D2C22D1"/>
    <w:rsid w:val="2D4C5A87"/>
    <w:rsid w:val="2D71729C"/>
    <w:rsid w:val="2D7D7EC1"/>
    <w:rsid w:val="2D9177D0"/>
    <w:rsid w:val="2E2831C7"/>
    <w:rsid w:val="2E296A4A"/>
    <w:rsid w:val="2E7510C8"/>
    <w:rsid w:val="2E932CFE"/>
    <w:rsid w:val="2E9F2F97"/>
    <w:rsid w:val="2EEB458A"/>
    <w:rsid w:val="2F02092C"/>
    <w:rsid w:val="2F0C34E0"/>
    <w:rsid w:val="2F2346E4"/>
    <w:rsid w:val="2F4E2FA9"/>
    <w:rsid w:val="2F6376CB"/>
    <w:rsid w:val="2F642F4F"/>
    <w:rsid w:val="2F835A02"/>
    <w:rsid w:val="2FA45F37"/>
    <w:rsid w:val="2FC51CEF"/>
    <w:rsid w:val="2FDC6090"/>
    <w:rsid w:val="30110AE9"/>
    <w:rsid w:val="30146461"/>
    <w:rsid w:val="30534DD6"/>
    <w:rsid w:val="305D3167"/>
    <w:rsid w:val="307D149D"/>
    <w:rsid w:val="308229B3"/>
    <w:rsid w:val="308974AE"/>
    <w:rsid w:val="3104167D"/>
    <w:rsid w:val="31123513"/>
    <w:rsid w:val="31416C5C"/>
    <w:rsid w:val="316C3324"/>
    <w:rsid w:val="31791955"/>
    <w:rsid w:val="31A46D01"/>
    <w:rsid w:val="31F500A1"/>
    <w:rsid w:val="321C1E43"/>
    <w:rsid w:val="32460A89"/>
    <w:rsid w:val="32506E1A"/>
    <w:rsid w:val="32724DD0"/>
    <w:rsid w:val="328714F2"/>
    <w:rsid w:val="32A77828"/>
    <w:rsid w:val="32C957DF"/>
    <w:rsid w:val="32D90B86"/>
    <w:rsid w:val="32E80292"/>
    <w:rsid w:val="330A6248"/>
    <w:rsid w:val="331F61ED"/>
    <w:rsid w:val="3334290F"/>
    <w:rsid w:val="33766BFC"/>
    <w:rsid w:val="340B1727"/>
    <w:rsid w:val="34196405"/>
    <w:rsid w:val="3424001A"/>
    <w:rsid w:val="343625FB"/>
    <w:rsid w:val="34504411"/>
    <w:rsid w:val="34630E03"/>
    <w:rsid w:val="346F6E14"/>
    <w:rsid w:val="349B0F5D"/>
    <w:rsid w:val="34F23B6A"/>
    <w:rsid w:val="35121EA0"/>
    <w:rsid w:val="35260FC4"/>
    <w:rsid w:val="353201D7"/>
    <w:rsid w:val="35335C58"/>
    <w:rsid w:val="35740C40"/>
    <w:rsid w:val="35A04F88"/>
    <w:rsid w:val="35B67B47"/>
    <w:rsid w:val="35E037F3"/>
    <w:rsid w:val="35EF7C8A"/>
    <w:rsid w:val="35F75996"/>
    <w:rsid w:val="36160449"/>
    <w:rsid w:val="361A7245"/>
    <w:rsid w:val="362D5E70"/>
    <w:rsid w:val="363101ED"/>
    <w:rsid w:val="3647586B"/>
    <w:rsid w:val="364D63A5"/>
    <w:rsid w:val="365269FF"/>
    <w:rsid w:val="36874DFF"/>
    <w:rsid w:val="36A43530"/>
    <w:rsid w:val="36A46DB4"/>
    <w:rsid w:val="36B27922"/>
    <w:rsid w:val="36B934D6"/>
    <w:rsid w:val="36E5781D"/>
    <w:rsid w:val="36F8676D"/>
    <w:rsid w:val="37111966"/>
    <w:rsid w:val="37202F54"/>
    <w:rsid w:val="379D6FCC"/>
    <w:rsid w:val="37A92DDE"/>
    <w:rsid w:val="37B336EE"/>
    <w:rsid w:val="37D416A4"/>
    <w:rsid w:val="37F479DA"/>
    <w:rsid w:val="3809134E"/>
    <w:rsid w:val="381F40A2"/>
    <w:rsid w:val="382B20B3"/>
    <w:rsid w:val="38315138"/>
    <w:rsid w:val="38402058"/>
    <w:rsid w:val="385507AA"/>
    <w:rsid w:val="3860038E"/>
    <w:rsid w:val="386B671F"/>
    <w:rsid w:val="38764AB1"/>
    <w:rsid w:val="387821B2"/>
    <w:rsid w:val="38784874"/>
    <w:rsid w:val="389040DD"/>
    <w:rsid w:val="38A90C5F"/>
    <w:rsid w:val="38CE513F"/>
    <w:rsid w:val="38D871B6"/>
    <w:rsid w:val="38EE3475"/>
    <w:rsid w:val="39163E0E"/>
    <w:rsid w:val="39181C0E"/>
    <w:rsid w:val="3919034D"/>
    <w:rsid w:val="39255B4E"/>
    <w:rsid w:val="392F3EDF"/>
    <w:rsid w:val="3991390B"/>
    <w:rsid w:val="399B4893"/>
    <w:rsid w:val="39C507D5"/>
    <w:rsid w:val="39CF5889"/>
    <w:rsid w:val="39D236E8"/>
    <w:rsid w:val="3A2940F7"/>
    <w:rsid w:val="3A5C5898"/>
    <w:rsid w:val="3A6A61E5"/>
    <w:rsid w:val="3A9F2E3C"/>
    <w:rsid w:val="3AA2053D"/>
    <w:rsid w:val="3AC10DF2"/>
    <w:rsid w:val="3B22497D"/>
    <w:rsid w:val="3B227B92"/>
    <w:rsid w:val="3B2D5F23"/>
    <w:rsid w:val="3B6405FB"/>
    <w:rsid w:val="3B8443B3"/>
    <w:rsid w:val="3B9968D7"/>
    <w:rsid w:val="3BB02C79"/>
    <w:rsid w:val="3BB106FB"/>
    <w:rsid w:val="3BBA100A"/>
    <w:rsid w:val="3BFD2D78"/>
    <w:rsid w:val="3C520284"/>
    <w:rsid w:val="3C535D05"/>
    <w:rsid w:val="3CE974FE"/>
    <w:rsid w:val="3D09183B"/>
    <w:rsid w:val="3D0B54B4"/>
    <w:rsid w:val="3D407F0C"/>
    <w:rsid w:val="3D61263F"/>
    <w:rsid w:val="3D8C4FEC"/>
    <w:rsid w:val="3DBF303E"/>
    <w:rsid w:val="3E0456CC"/>
    <w:rsid w:val="3E0F72E0"/>
    <w:rsid w:val="3E317495"/>
    <w:rsid w:val="3E507D4A"/>
    <w:rsid w:val="3E7B4411"/>
    <w:rsid w:val="3E9D45C5"/>
    <w:rsid w:val="3ECC7AD8"/>
    <w:rsid w:val="3ED42521"/>
    <w:rsid w:val="3F2A54AE"/>
    <w:rsid w:val="3F6B5F18"/>
    <w:rsid w:val="3F8B424E"/>
    <w:rsid w:val="3F9625DF"/>
    <w:rsid w:val="3FED2FEE"/>
    <w:rsid w:val="4015208E"/>
    <w:rsid w:val="402E72DA"/>
    <w:rsid w:val="403A30ED"/>
    <w:rsid w:val="405939A2"/>
    <w:rsid w:val="40857CE9"/>
    <w:rsid w:val="40BE7563"/>
    <w:rsid w:val="40C60753"/>
    <w:rsid w:val="40D16AE4"/>
    <w:rsid w:val="40E63206"/>
    <w:rsid w:val="40EE2700"/>
    <w:rsid w:val="412874F2"/>
    <w:rsid w:val="415E1BCB"/>
    <w:rsid w:val="41741B70"/>
    <w:rsid w:val="417E7F01"/>
    <w:rsid w:val="41934623"/>
    <w:rsid w:val="41C0096A"/>
    <w:rsid w:val="420C2749"/>
    <w:rsid w:val="42204A3A"/>
    <w:rsid w:val="423676B0"/>
    <w:rsid w:val="426339F7"/>
    <w:rsid w:val="42780119"/>
    <w:rsid w:val="428377AF"/>
    <w:rsid w:val="42985759"/>
    <w:rsid w:val="429960CF"/>
    <w:rsid w:val="43254DBA"/>
    <w:rsid w:val="43311780"/>
    <w:rsid w:val="43677A21"/>
    <w:rsid w:val="43B3461E"/>
    <w:rsid w:val="4409502C"/>
    <w:rsid w:val="440A08B0"/>
    <w:rsid w:val="44146C41"/>
    <w:rsid w:val="442B2FE3"/>
    <w:rsid w:val="44D84400"/>
    <w:rsid w:val="44E32791"/>
    <w:rsid w:val="44F92736"/>
    <w:rsid w:val="44FE1514"/>
    <w:rsid w:val="450843D7"/>
    <w:rsid w:val="452E518F"/>
    <w:rsid w:val="452F4E0F"/>
    <w:rsid w:val="45493CCA"/>
    <w:rsid w:val="456552E9"/>
    <w:rsid w:val="456F5BF8"/>
    <w:rsid w:val="4585361F"/>
    <w:rsid w:val="4586581D"/>
    <w:rsid w:val="4587329F"/>
    <w:rsid w:val="459B1F40"/>
    <w:rsid w:val="45FD4563"/>
    <w:rsid w:val="460728F4"/>
    <w:rsid w:val="46120628"/>
    <w:rsid w:val="463333B8"/>
    <w:rsid w:val="46336C3B"/>
    <w:rsid w:val="465F0D84"/>
    <w:rsid w:val="46691693"/>
    <w:rsid w:val="469775D0"/>
    <w:rsid w:val="46DC154C"/>
    <w:rsid w:val="46EB2B66"/>
    <w:rsid w:val="47423575"/>
    <w:rsid w:val="4764152B"/>
    <w:rsid w:val="477A221E"/>
    <w:rsid w:val="47AC4A38"/>
    <w:rsid w:val="47BB79BB"/>
    <w:rsid w:val="47DA0270"/>
    <w:rsid w:val="480A4780"/>
    <w:rsid w:val="480D1AA5"/>
    <w:rsid w:val="4826706B"/>
    <w:rsid w:val="483D5387"/>
    <w:rsid w:val="48690DD9"/>
    <w:rsid w:val="4888168E"/>
    <w:rsid w:val="48B019F8"/>
    <w:rsid w:val="48C26E53"/>
    <w:rsid w:val="48C920F7"/>
    <w:rsid w:val="48F467BF"/>
    <w:rsid w:val="48F5643E"/>
    <w:rsid w:val="49121A25"/>
    <w:rsid w:val="492A0E97"/>
    <w:rsid w:val="492B471A"/>
    <w:rsid w:val="49504381"/>
    <w:rsid w:val="49626DF3"/>
    <w:rsid w:val="496C5184"/>
    <w:rsid w:val="49773515"/>
    <w:rsid w:val="49793A2E"/>
    <w:rsid w:val="49822BAA"/>
    <w:rsid w:val="49B83F7E"/>
    <w:rsid w:val="49C37906"/>
    <w:rsid w:val="49C76516"/>
    <w:rsid w:val="49D97D36"/>
    <w:rsid w:val="49E4194A"/>
    <w:rsid w:val="49ED225A"/>
    <w:rsid w:val="4A0B07B3"/>
    <w:rsid w:val="4A0F0210"/>
    <w:rsid w:val="4A1A079F"/>
    <w:rsid w:val="4A244932"/>
    <w:rsid w:val="4A500C79"/>
    <w:rsid w:val="4A5B700A"/>
    <w:rsid w:val="4A7B44BC"/>
    <w:rsid w:val="4ADC40E1"/>
    <w:rsid w:val="4AF045AD"/>
    <w:rsid w:val="4AFE2097"/>
    <w:rsid w:val="4B1367B9"/>
    <w:rsid w:val="4B1E4B4A"/>
    <w:rsid w:val="4B547222"/>
    <w:rsid w:val="4B5F3364"/>
    <w:rsid w:val="4B9B00A5"/>
    <w:rsid w:val="4BA17322"/>
    <w:rsid w:val="4BB61845"/>
    <w:rsid w:val="4BC15658"/>
    <w:rsid w:val="4BC9374A"/>
    <w:rsid w:val="4C0360C1"/>
    <w:rsid w:val="4C210095"/>
    <w:rsid w:val="4C4423AE"/>
    <w:rsid w:val="4C632C63"/>
    <w:rsid w:val="4C642AC7"/>
    <w:rsid w:val="4C6E0FF4"/>
    <w:rsid w:val="4C787385"/>
    <w:rsid w:val="4C9C5D66"/>
    <w:rsid w:val="4C9C6BEF"/>
    <w:rsid w:val="4CCA607B"/>
    <w:rsid w:val="4CD30948"/>
    <w:rsid w:val="4CDB5DA5"/>
    <w:rsid w:val="4CE679B9"/>
    <w:rsid w:val="4D077EEE"/>
    <w:rsid w:val="4D2607A2"/>
    <w:rsid w:val="4D280422"/>
    <w:rsid w:val="4D3E5E49"/>
    <w:rsid w:val="4D6555DF"/>
    <w:rsid w:val="4D8F23AB"/>
    <w:rsid w:val="4D8F3FD8"/>
    <w:rsid w:val="4D935553"/>
    <w:rsid w:val="4D940DD6"/>
    <w:rsid w:val="4DAA76F7"/>
    <w:rsid w:val="4DEB39E3"/>
    <w:rsid w:val="4E053BE5"/>
    <w:rsid w:val="4E574397"/>
    <w:rsid w:val="4E8225B1"/>
    <w:rsid w:val="4E8406DF"/>
    <w:rsid w:val="4EC436C7"/>
    <w:rsid w:val="4ECF38DB"/>
    <w:rsid w:val="4EDA47E4"/>
    <w:rsid w:val="4EDA586A"/>
    <w:rsid w:val="4EF9611F"/>
    <w:rsid w:val="4F252413"/>
    <w:rsid w:val="4F252466"/>
    <w:rsid w:val="4F281692"/>
    <w:rsid w:val="4F37379E"/>
    <w:rsid w:val="4F506B2E"/>
    <w:rsid w:val="4F5E4F18"/>
    <w:rsid w:val="4F714AE4"/>
    <w:rsid w:val="4F871206"/>
    <w:rsid w:val="4F912E1A"/>
    <w:rsid w:val="4F9C11AB"/>
    <w:rsid w:val="4FA61409"/>
    <w:rsid w:val="4FBE1360"/>
    <w:rsid w:val="4FC854F3"/>
    <w:rsid w:val="4FCF047D"/>
    <w:rsid w:val="4FD33884"/>
    <w:rsid w:val="4FD41305"/>
    <w:rsid w:val="4FDE7696"/>
    <w:rsid w:val="4FE56C89"/>
    <w:rsid w:val="4FF17EF4"/>
    <w:rsid w:val="50310152"/>
    <w:rsid w:val="50385B68"/>
    <w:rsid w:val="506C277D"/>
    <w:rsid w:val="508071D7"/>
    <w:rsid w:val="508D0734"/>
    <w:rsid w:val="50C20F8E"/>
    <w:rsid w:val="50C2570B"/>
    <w:rsid w:val="50E23A41"/>
    <w:rsid w:val="50E336C1"/>
    <w:rsid w:val="51063B27"/>
    <w:rsid w:val="5119199D"/>
    <w:rsid w:val="5138705E"/>
    <w:rsid w:val="514F07F2"/>
    <w:rsid w:val="515F5A90"/>
    <w:rsid w:val="516F6B28"/>
    <w:rsid w:val="516F735F"/>
    <w:rsid w:val="518F4E5F"/>
    <w:rsid w:val="51C67537"/>
    <w:rsid w:val="51D13349"/>
    <w:rsid w:val="51D14FA1"/>
    <w:rsid w:val="52077FA0"/>
    <w:rsid w:val="52121BB5"/>
    <w:rsid w:val="52781284"/>
    <w:rsid w:val="52AB6D8B"/>
    <w:rsid w:val="52B54C41"/>
    <w:rsid w:val="52D576F4"/>
    <w:rsid w:val="52EB3A96"/>
    <w:rsid w:val="530B1DCC"/>
    <w:rsid w:val="530C261E"/>
    <w:rsid w:val="532B0103"/>
    <w:rsid w:val="53383B95"/>
    <w:rsid w:val="53F16BC7"/>
    <w:rsid w:val="53F91160"/>
    <w:rsid w:val="53FA3C53"/>
    <w:rsid w:val="541816B1"/>
    <w:rsid w:val="54267F9B"/>
    <w:rsid w:val="54684287"/>
    <w:rsid w:val="547E642B"/>
    <w:rsid w:val="54864E33"/>
    <w:rsid w:val="549A5EE9"/>
    <w:rsid w:val="54AA2BA1"/>
    <w:rsid w:val="54DF2FCC"/>
    <w:rsid w:val="55145A25"/>
    <w:rsid w:val="551556A5"/>
    <w:rsid w:val="55206F60"/>
    <w:rsid w:val="55563F10"/>
    <w:rsid w:val="5557610E"/>
    <w:rsid w:val="55AB1DB1"/>
    <w:rsid w:val="55CD4E53"/>
    <w:rsid w:val="55D831E4"/>
    <w:rsid w:val="55ED318A"/>
    <w:rsid w:val="56012767"/>
    <w:rsid w:val="561B4F52"/>
    <w:rsid w:val="564F1F29"/>
    <w:rsid w:val="565079AB"/>
    <w:rsid w:val="565A5D3C"/>
    <w:rsid w:val="5670465C"/>
    <w:rsid w:val="56AA5F00"/>
    <w:rsid w:val="56BC6CDA"/>
    <w:rsid w:val="56C4574F"/>
    <w:rsid w:val="56D133FC"/>
    <w:rsid w:val="57081358"/>
    <w:rsid w:val="574A1DC1"/>
    <w:rsid w:val="574E2350"/>
    <w:rsid w:val="577F481A"/>
    <w:rsid w:val="5796443F"/>
    <w:rsid w:val="57A027D0"/>
    <w:rsid w:val="57A45FD1"/>
    <w:rsid w:val="57AB0B61"/>
    <w:rsid w:val="57ED4E4E"/>
    <w:rsid w:val="58021570"/>
    <w:rsid w:val="58125335"/>
    <w:rsid w:val="58591F7E"/>
    <w:rsid w:val="585D50A2"/>
    <w:rsid w:val="586276B4"/>
    <w:rsid w:val="58A600B4"/>
    <w:rsid w:val="591B3341"/>
    <w:rsid w:val="59314D3B"/>
    <w:rsid w:val="593276E3"/>
    <w:rsid w:val="59364F2F"/>
    <w:rsid w:val="59487688"/>
    <w:rsid w:val="59537C18"/>
    <w:rsid w:val="59687BBD"/>
    <w:rsid w:val="596F44B8"/>
    <w:rsid w:val="59883525"/>
    <w:rsid w:val="598C2642"/>
    <w:rsid w:val="59A92BA5"/>
    <w:rsid w:val="59BF5D26"/>
    <w:rsid w:val="59F50AA6"/>
    <w:rsid w:val="5A1631D9"/>
    <w:rsid w:val="5A404EEC"/>
    <w:rsid w:val="5A4D36B3"/>
    <w:rsid w:val="5A5A5C2A"/>
    <w:rsid w:val="5A615BD7"/>
    <w:rsid w:val="5A6D3BE8"/>
    <w:rsid w:val="5A793A92"/>
    <w:rsid w:val="5A8D1F1E"/>
    <w:rsid w:val="5AC445F6"/>
    <w:rsid w:val="5ACF2987"/>
    <w:rsid w:val="5AE470AA"/>
    <w:rsid w:val="5B1A7584"/>
    <w:rsid w:val="5B366A85"/>
    <w:rsid w:val="5B490AD6"/>
    <w:rsid w:val="5B705D94"/>
    <w:rsid w:val="5B775AFC"/>
    <w:rsid w:val="5B9C20DB"/>
    <w:rsid w:val="5BB167FD"/>
    <w:rsid w:val="5BB3647D"/>
    <w:rsid w:val="5BC86423"/>
    <w:rsid w:val="5BD56B3C"/>
    <w:rsid w:val="5BDE05C6"/>
    <w:rsid w:val="5BF83382"/>
    <w:rsid w:val="5BFD0E7B"/>
    <w:rsid w:val="5C1F6E31"/>
    <w:rsid w:val="5C201030"/>
    <w:rsid w:val="5C513C06"/>
    <w:rsid w:val="5C6B5C2C"/>
    <w:rsid w:val="5C7752C2"/>
    <w:rsid w:val="5C7C6ED6"/>
    <w:rsid w:val="5CB702A9"/>
    <w:rsid w:val="5CCC024F"/>
    <w:rsid w:val="5CD765E0"/>
    <w:rsid w:val="5CE24971"/>
    <w:rsid w:val="5D5071A3"/>
    <w:rsid w:val="5DAE36E1"/>
    <w:rsid w:val="5DD14279"/>
    <w:rsid w:val="5DDB4B89"/>
    <w:rsid w:val="5DF3600B"/>
    <w:rsid w:val="5E070ED0"/>
    <w:rsid w:val="5E30214A"/>
    <w:rsid w:val="5E731884"/>
    <w:rsid w:val="5ECA2293"/>
    <w:rsid w:val="5EF665DA"/>
    <w:rsid w:val="5F0C077E"/>
    <w:rsid w:val="5F212CA2"/>
    <w:rsid w:val="5F2B1033"/>
    <w:rsid w:val="5F387044"/>
    <w:rsid w:val="5F62370B"/>
    <w:rsid w:val="5F6D1A9C"/>
    <w:rsid w:val="5F7836B0"/>
    <w:rsid w:val="5F89597B"/>
    <w:rsid w:val="5FB9411A"/>
    <w:rsid w:val="5FE307E1"/>
    <w:rsid w:val="5FFA0406"/>
    <w:rsid w:val="5FFA4B83"/>
    <w:rsid w:val="601C2B39"/>
    <w:rsid w:val="60510E15"/>
    <w:rsid w:val="60665537"/>
    <w:rsid w:val="60672FB9"/>
    <w:rsid w:val="609D7C10"/>
    <w:rsid w:val="60B35636"/>
    <w:rsid w:val="60BD5F46"/>
    <w:rsid w:val="60C842D7"/>
    <w:rsid w:val="60D744B8"/>
    <w:rsid w:val="60DE0679"/>
    <w:rsid w:val="610A27C2"/>
    <w:rsid w:val="61146955"/>
    <w:rsid w:val="61226FFC"/>
    <w:rsid w:val="61402C9C"/>
    <w:rsid w:val="61501CF8"/>
    <w:rsid w:val="617556F4"/>
    <w:rsid w:val="62014100"/>
    <w:rsid w:val="622403F1"/>
    <w:rsid w:val="62441245"/>
    <w:rsid w:val="62654FFD"/>
    <w:rsid w:val="627C4C22"/>
    <w:rsid w:val="62D1432C"/>
    <w:rsid w:val="62D21DAE"/>
    <w:rsid w:val="63284D3B"/>
    <w:rsid w:val="63403A6A"/>
    <w:rsid w:val="634B0772"/>
    <w:rsid w:val="637F0FCD"/>
    <w:rsid w:val="63A4399C"/>
    <w:rsid w:val="63F21A12"/>
    <w:rsid w:val="63F7410E"/>
    <w:rsid w:val="64172445"/>
    <w:rsid w:val="64176BC2"/>
    <w:rsid w:val="643D3345"/>
    <w:rsid w:val="644C4E9D"/>
    <w:rsid w:val="64A73402"/>
    <w:rsid w:val="64C47FDF"/>
    <w:rsid w:val="64CD45B8"/>
    <w:rsid w:val="64FD39BC"/>
    <w:rsid w:val="6524032D"/>
    <w:rsid w:val="65244519"/>
    <w:rsid w:val="65310993"/>
    <w:rsid w:val="653A6EBA"/>
    <w:rsid w:val="65441530"/>
    <w:rsid w:val="655F7C2E"/>
    <w:rsid w:val="65724C80"/>
    <w:rsid w:val="65886E23"/>
    <w:rsid w:val="659509E2"/>
    <w:rsid w:val="65960E7B"/>
    <w:rsid w:val="65AE18ED"/>
    <w:rsid w:val="65B456E9"/>
    <w:rsid w:val="65D43A20"/>
    <w:rsid w:val="65DF7832"/>
    <w:rsid w:val="65FC7F22"/>
    <w:rsid w:val="661F281A"/>
    <w:rsid w:val="665057CC"/>
    <w:rsid w:val="66564EF2"/>
    <w:rsid w:val="66A27570"/>
    <w:rsid w:val="66AA7171"/>
    <w:rsid w:val="66CB413B"/>
    <w:rsid w:val="67046310"/>
    <w:rsid w:val="677A2633"/>
    <w:rsid w:val="679C7788"/>
    <w:rsid w:val="67D234E5"/>
    <w:rsid w:val="67F33A1A"/>
    <w:rsid w:val="681364CD"/>
    <w:rsid w:val="684A4429"/>
    <w:rsid w:val="68597D25"/>
    <w:rsid w:val="688C319B"/>
    <w:rsid w:val="68B83318"/>
    <w:rsid w:val="69092373"/>
    <w:rsid w:val="69187F79"/>
    <w:rsid w:val="6923630A"/>
    <w:rsid w:val="692E211D"/>
    <w:rsid w:val="695860A4"/>
    <w:rsid w:val="698450AA"/>
    <w:rsid w:val="698F6CBE"/>
    <w:rsid w:val="69D01878"/>
    <w:rsid w:val="69D07728"/>
    <w:rsid w:val="6A321D4B"/>
    <w:rsid w:val="6A3264C7"/>
    <w:rsid w:val="6A3C4858"/>
    <w:rsid w:val="6AA9520C"/>
    <w:rsid w:val="6AAA4E8C"/>
    <w:rsid w:val="6AB17CEB"/>
    <w:rsid w:val="6AD35DB1"/>
    <w:rsid w:val="6AD51554"/>
    <w:rsid w:val="6B2C79E4"/>
    <w:rsid w:val="6B3602F4"/>
    <w:rsid w:val="6B484200"/>
    <w:rsid w:val="6B7845E0"/>
    <w:rsid w:val="6B8D791B"/>
    <w:rsid w:val="6B8E6784"/>
    <w:rsid w:val="6BAE6CB9"/>
    <w:rsid w:val="6BC333DB"/>
    <w:rsid w:val="6BD845A1"/>
    <w:rsid w:val="6BFA5AB3"/>
    <w:rsid w:val="6C016CC3"/>
    <w:rsid w:val="6C105A58"/>
    <w:rsid w:val="6C264CF2"/>
    <w:rsid w:val="6C475BB2"/>
    <w:rsid w:val="6C50730B"/>
    <w:rsid w:val="6C7727EE"/>
    <w:rsid w:val="6C7D060B"/>
    <w:rsid w:val="6C87087B"/>
    <w:rsid w:val="6C9D0B3F"/>
    <w:rsid w:val="6CB8391E"/>
    <w:rsid w:val="6CC85207"/>
    <w:rsid w:val="6CDE15A9"/>
    <w:rsid w:val="6D0214C1"/>
    <w:rsid w:val="6D4C79DE"/>
    <w:rsid w:val="6D666C89"/>
    <w:rsid w:val="6D742589"/>
    <w:rsid w:val="6D8841F9"/>
    <w:rsid w:val="6DA1296C"/>
    <w:rsid w:val="6DC22EA0"/>
    <w:rsid w:val="6DD85044"/>
    <w:rsid w:val="6E25131E"/>
    <w:rsid w:val="6E280787"/>
    <w:rsid w:val="6E393DE4"/>
    <w:rsid w:val="6E395996"/>
    <w:rsid w:val="6E4F3D89"/>
    <w:rsid w:val="6E9047F2"/>
    <w:rsid w:val="6ED2525C"/>
    <w:rsid w:val="6ED75D9D"/>
    <w:rsid w:val="6EDC35ED"/>
    <w:rsid w:val="6EE855C2"/>
    <w:rsid w:val="6EF21014"/>
    <w:rsid w:val="6EF23592"/>
    <w:rsid w:val="6EFC51A7"/>
    <w:rsid w:val="6F0E3945"/>
    <w:rsid w:val="6F1673FC"/>
    <w:rsid w:val="6F21223C"/>
    <w:rsid w:val="6F235605"/>
    <w:rsid w:val="6F333FFC"/>
    <w:rsid w:val="6F3E5C10"/>
    <w:rsid w:val="6F483FA1"/>
    <w:rsid w:val="6F7F6679"/>
    <w:rsid w:val="6F8B5D0F"/>
    <w:rsid w:val="6FAA2D41"/>
    <w:rsid w:val="6FBD1DEF"/>
    <w:rsid w:val="6FCA1077"/>
    <w:rsid w:val="6FE05419"/>
    <w:rsid w:val="6FE12E9B"/>
    <w:rsid w:val="6FEC4B65"/>
    <w:rsid w:val="7003433D"/>
    <w:rsid w:val="70241EF7"/>
    <w:rsid w:val="70427A3C"/>
    <w:rsid w:val="704D7F6C"/>
    <w:rsid w:val="7053280F"/>
    <w:rsid w:val="706E0500"/>
    <w:rsid w:val="708304A5"/>
    <w:rsid w:val="70886D50"/>
    <w:rsid w:val="70AE4B6D"/>
    <w:rsid w:val="71263532"/>
    <w:rsid w:val="71267CAF"/>
    <w:rsid w:val="71A87053"/>
    <w:rsid w:val="71DE2CE0"/>
    <w:rsid w:val="71E91071"/>
    <w:rsid w:val="722A1ADB"/>
    <w:rsid w:val="722B755C"/>
    <w:rsid w:val="72601FB5"/>
    <w:rsid w:val="726141B3"/>
    <w:rsid w:val="727B6BB1"/>
    <w:rsid w:val="72A72475"/>
    <w:rsid w:val="72CD4B67"/>
    <w:rsid w:val="73303587"/>
    <w:rsid w:val="735B7C4E"/>
    <w:rsid w:val="73651863"/>
    <w:rsid w:val="739C06B8"/>
    <w:rsid w:val="73DC4D25"/>
    <w:rsid w:val="7408106C"/>
    <w:rsid w:val="74830BBC"/>
    <w:rsid w:val="748B700A"/>
    <w:rsid w:val="74964153"/>
    <w:rsid w:val="74B13A66"/>
    <w:rsid w:val="74CD42AD"/>
    <w:rsid w:val="74D74BBC"/>
    <w:rsid w:val="74EC084E"/>
    <w:rsid w:val="74F13B03"/>
    <w:rsid w:val="75011284"/>
    <w:rsid w:val="750D0FB2"/>
    <w:rsid w:val="7523723A"/>
    <w:rsid w:val="75261BF4"/>
    <w:rsid w:val="7538395C"/>
    <w:rsid w:val="753A1D06"/>
    <w:rsid w:val="754E3901"/>
    <w:rsid w:val="756F76B9"/>
    <w:rsid w:val="75845FDA"/>
    <w:rsid w:val="759926FC"/>
    <w:rsid w:val="75CB345F"/>
    <w:rsid w:val="75CF09D8"/>
    <w:rsid w:val="75DA47EA"/>
    <w:rsid w:val="75DB69E8"/>
    <w:rsid w:val="75F1698E"/>
    <w:rsid w:val="76072D30"/>
    <w:rsid w:val="764B1600"/>
    <w:rsid w:val="76DE2860"/>
    <w:rsid w:val="76E646FE"/>
    <w:rsid w:val="770B4B5C"/>
    <w:rsid w:val="770B5CB0"/>
    <w:rsid w:val="77481030"/>
    <w:rsid w:val="776158EB"/>
    <w:rsid w:val="778E6C14"/>
    <w:rsid w:val="77A26354"/>
    <w:rsid w:val="77B95F79"/>
    <w:rsid w:val="77C4430A"/>
    <w:rsid w:val="783A3050"/>
    <w:rsid w:val="784513E1"/>
    <w:rsid w:val="78576C0B"/>
    <w:rsid w:val="78711EA5"/>
    <w:rsid w:val="787B48AE"/>
    <w:rsid w:val="787C0501"/>
    <w:rsid w:val="787D153B"/>
    <w:rsid w:val="789D7871"/>
    <w:rsid w:val="78A60180"/>
    <w:rsid w:val="78E113B6"/>
    <w:rsid w:val="79096BA0"/>
    <w:rsid w:val="79187CFE"/>
    <w:rsid w:val="79425F0F"/>
    <w:rsid w:val="79591BE5"/>
    <w:rsid w:val="798303CA"/>
    <w:rsid w:val="79ED2696"/>
    <w:rsid w:val="7A506EB7"/>
    <w:rsid w:val="7A6413DB"/>
    <w:rsid w:val="7A6E38A0"/>
    <w:rsid w:val="7A79662E"/>
    <w:rsid w:val="7A9D67A7"/>
    <w:rsid w:val="7AAF6E79"/>
    <w:rsid w:val="7AB03A59"/>
    <w:rsid w:val="7AD32A5B"/>
    <w:rsid w:val="7AE05C9F"/>
    <w:rsid w:val="7AE83BB3"/>
    <w:rsid w:val="7AED4F90"/>
    <w:rsid w:val="7B070BE4"/>
    <w:rsid w:val="7B074467"/>
    <w:rsid w:val="7B690C89"/>
    <w:rsid w:val="7B7F75A9"/>
    <w:rsid w:val="7BA70768"/>
    <w:rsid w:val="7BAA3C71"/>
    <w:rsid w:val="7BAE62A6"/>
    <w:rsid w:val="7BD40338"/>
    <w:rsid w:val="7BF662EE"/>
    <w:rsid w:val="7C0B2A10"/>
    <w:rsid w:val="7C6347E5"/>
    <w:rsid w:val="7C985AF7"/>
    <w:rsid w:val="7CB83E2E"/>
    <w:rsid w:val="7CB918AF"/>
    <w:rsid w:val="7CD41906"/>
    <w:rsid w:val="7CEF1D89"/>
    <w:rsid w:val="7CFA011A"/>
    <w:rsid w:val="7D3B0B84"/>
    <w:rsid w:val="7D512D27"/>
    <w:rsid w:val="7D570460"/>
    <w:rsid w:val="7D66330D"/>
    <w:rsid w:val="7D937014"/>
    <w:rsid w:val="7DD47A7D"/>
    <w:rsid w:val="7DE62836"/>
    <w:rsid w:val="7DE91FA1"/>
    <w:rsid w:val="7E006343"/>
    <w:rsid w:val="7E013DC5"/>
    <w:rsid w:val="7E062FFE"/>
    <w:rsid w:val="7E6C6CF7"/>
    <w:rsid w:val="7E8C502E"/>
    <w:rsid w:val="7E973410"/>
    <w:rsid w:val="7EAB7AE1"/>
    <w:rsid w:val="7EE221B9"/>
    <w:rsid w:val="7EE37C3B"/>
    <w:rsid w:val="7F392BC8"/>
    <w:rsid w:val="7F7052A0"/>
    <w:rsid w:val="7FA83E85"/>
    <w:rsid w:val="7FBD539F"/>
    <w:rsid w:val="7FC71532"/>
    <w:rsid w:val="7FDC5C54"/>
    <w:rsid w:val="7FDC6D78"/>
    <w:rsid w:val="7FDD7E53"/>
    <w:rsid w:val="7FF0014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9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lsdException w:name="annotation text" w:semiHidden="0"/>
    <w:lsdException w:name="header" w:semiHidden="0"/>
    <w:lsdException w:name="footer" w:semiHidden="0"/>
    <w:lsdException w:name="caption" w:semiHidden="0" w:uiPriority="35" w:unhideWhenUsed="0" w:qFormat="1"/>
    <w:lsdException w:name="footnote reference" w:semiHidden="0"/>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uiPriority w:val="9"/>
    <w:qFormat/>
    <w:pPr>
      <w:keepNext/>
      <w:keepLines/>
      <w:tabs>
        <w:tab w:val="left" w:pos="0"/>
      </w:tabs>
      <w:jc w:val="left"/>
      <w:outlineLvl w:val="2"/>
    </w:pPr>
    <w:rPr>
      <w:rFonts w:ascii="黑体" w:hAnsi="黑体" w:cs="黑体"/>
      <w:b/>
      <w:szCs w:val="32"/>
    </w:rPr>
  </w:style>
  <w:style w:type="character" w:default="1" w:styleId="a0">
    <w:name w:val="Default Paragraph Font"/>
    <w:uiPriority w:val="1"/>
    <w:unhideWhenUsed/>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styleId="a4">
    <w:name w:val="footnote reference"/>
    <w:uiPriority w:val="99"/>
    <w:unhideWhenUsed/>
    <w:rPr>
      <w:vertAlign w:val="superscript"/>
    </w:rPr>
  </w:style>
  <w:style w:type="character" w:customStyle="1" w:styleId="Char">
    <w:name w:val="批注框文本 Char"/>
    <w:basedOn w:val="a0"/>
    <w:link w:val="a5"/>
    <w:uiPriority w:val="99"/>
    <w:semiHidden/>
    <w:rPr>
      <w:sz w:val="18"/>
      <w:szCs w:val="18"/>
    </w:rPr>
  </w:style>
  <w:style w:type="character" w:customStyle="1" w:styleId="Char0">
    <w:name w:val="页脚 Char"/>
    <w:basedOn w:val="a0"/>
    <w:link w:val="a6"/>
    <w:uiPriority w:val="99"/>
    <w:rPr>
      <w:kern w:val="2"/>
      <w:sz w:val="18"/>
      <w:szCs w:val="18"/>
    </w:rPr>
  </w:style>
  <w:style w:type="character" w:customStyle="1" w:styleId="1Char">
    <w:name w:val="标题 1 Char"/>
    <w:basedOn w:val="a0"/>
    <w:link w:val="1"/>
    <w:uiPriority w:val="9"/>
    <w:rPr>
      <w:b/>
      <w:bCs/>
      <w:kern w:val="44"/>
      <w:sz w:val="44"/>
      <w:szCs w:val="44"/>
    </w:rPr>
  </w:style>
  <w:style w:type="character" w:customStyle="1" w:styleId="Char1">
    <w:name w:val="页眉 Char"/>
    <w:basedOn w:val="a0"/>
    <w:link w:val="a7"/>
    <w:uiPriority w:val="99"/>
    <w:rPr>
      <w:kern w:val="2"/>
      <w:sz w:val="18"/>
      <w:szCs w:val="18"/>
    </w:rPr>
  </w:style>
  <w:style w:type="paragraph" w:styleId="2">
    <w:name w:val="toc 2"/>
    <w:basedOn w:val="a"/>
    <w:next w:val="a"/>
    <w:uiPriority w:val="39"/>
    <w:unhideWhenUsed/>
    <w:qFormat/>
    <w:pPr>
      <w:widowControl/>
      <w:spacing w:after="100" w:line="276" w:lineRule="auto"/>
      <w:ind w:left="220"/>
      <w:jc w:val="left"/>
    </w:pPr>
    <w:rPr>
      <w:rFonts w:ascii="Calibri" w:hAnsi="Calibri"/>
      <w:kern w:val="0"/>
      <w:sz w:val="22"/>
    </w:rPr>
  </w:style>
  <w:style w:type="paragraph" w:styleId="a8">
    <w:name w:val="caption"/>
    <w:basedOn w:val="a"/>
    <w:next w:val="a"/>
    <w:uiPriority w:val="35"/>
    <w:qFormat/>
    <w:pPr>
      <w:ind w:left="420"/>
      <w:jc w:val="center"/>
    </w:pPr>
    <w:rPr>
      <w:rFonts w:ascii="Calibri" w:eastAsia="Calibri" w:hAnsi="Calibri"/>
      <w:b/>
      <w:sz w:val="18"/>
      <w:szCs w:val="18"/>
    </w:rPr>
  </w:style>
  <w:style w:type="paragraph" w:styleId="a5">
    <w:name w:val="Balloon Text"/>
    <w:basedOn w:val="a"/>
    <w:link w:val="Char"/>
    <w:uiPriority w:val="99"/>
    <w:unhideWhenUsed/>
    <w:rPr>
      <w:sz w:val="18"/>
      <w:szCs w:val="18"/>
    </w:rPr>
  </w:style>
  <w:style w:type="paragraph" w:styleId="a7">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9">
    <w:name w:val="footnote text"/>
    <w:basedOn w:val="a"/>
    <w:uiPriority w:val="99"/>
    <w:unhideWhenUsed/>
    <w:pPr>
      <w:snapToGrid w:val="0"/>
      <w:jc w:val="left"/>
    </w:pPr>
    <w:rPr>
      <w:sz w:val="18"/>
      <w:szCs w:val="18"/>
    </w:rPr>
  </w:style>
  <w:style w:type="paragraph" w:styleId="a6">
    <w:name w:val="footer"/>
    <w:basedOn w:val="a"/>
    <w:link w:val="Char0"/>
    <w:uiPriority w:val="99"/>
    <w:unhideWhenUsed/>
    <w:pPr>
      <w:tabs>
        <w:tab w:val="center" w:pos="4153"/>
        <w:tab w:val="right" w:pos="8306"/>
      </w:tabs>
      <w:snapToGrid w:val="0"/>
      <w:jc w:val="left"/>
    </w:pPr>
    <w:rPr>
      <w:sz w:val="18"/>
      <w:szCs w:val="18"/>
    </w:rPr>
  </w:style>
  <w:style w:type="paragraph" w:styleId="10">
    <w:name w:val="toc 1"/>
    <w:basedOn w:val="a"/>
    <w:next w:val="a"/>
    <w:uiPriority w:val="39"/>
    <w:unhideWhenUsed/>
    <w:qFormat/>
    <w:pPr>
      <w:widowControl/>
      <w:spacing w:after="100" w:line="276" w:lineRule="auto"/>
      <w:jc w:val="left"/>
    </w:pPr>
    <w:rPr>
      <w:rFonts w:ascii="Calibri" w:hAnsi="Calibri"/>
      <w:kern w:val="0"/>
      <w:sz w:val="22"/>
    </w:rPr>
  </w:style>
  <w:style w:type="paragraph" w:styleId="aa">
    <w:name w:val="annotation text"/>
    <w:basedOn w:val="a"/>
    <w:uiPriority w:val="99"/>
    <w:unhideWhenUsed/>
    <w:pPr>
      <w:jc w:val="left"/>
    </w:pPr>
  </w:style>
  <w:style w:type="paragraph" w:styleId="30">
    <w:name w:val="toc 3"/>
    <w:basedOn w:val="a"/>
    <w:next w:val="a"/>
    <w:uiPriority w:val="39"/>
    <w:unhideWhenUsed/>
    <w:qFormat/>
    <w:pPr>
      <w:widowControl/>
      <w:spacing w:after="100" w:line="276" w:lineRule="auto"/>
      <w:ind w:left="440"/>
      <w:jc w:val="left"/>
    </w:pPr>
    <w:rPr>
      <w:rFonts w:ascii="Calibri" w:hAnsi="Calibri"/>
      <w:kern w:val="0"/>
      <w:sz w:val="22"/>
    </w:rPr>
  </w:style>
  <w:style w:type="paragraph" w:customStyle="1" w:styleId="11">
    <w:name w:val="样式1"/>
    <w:basedOn w:val="a"/>
    <w:qFormat/>
    <w:rPr>
      <w:b/>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styleId="ab">
    <w:name w:val="List Paragraph"/>
    <w:basedOn w:val="a"/>
    <w:uiPriority w:val="34"/>
    <w:qFormat/>
    <w:pPr>
      <w:ind w:firstLineChars="200" w:firstLine="420"/>
    </w:pPr>
  </w:style>
  <w:style w:type="paragraph" w:styleId="TOC">
    <w:name w:val="TOC Heading"/>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table" w:customStyle="1" w:styleId="-11">
    <w:name w:val="浅色列表 - 强调文字颜色 11"/>
    <w:basedOn w:val="a1"/>
    <w:uiPriority w:val="61"/>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31">
    <w:name w:val="浅色列表 - 强调文字颜色 31"/>
    <w:basedOn w:val="a1"/>
    <w:uiPriority w:val="61"/>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customStyle="1" w:styleId="-51">
    <w:name w:val="浅色网格 - 强调文字颜色 51"/>
    <w:basedOn w:val="a1"/>
    <w:uiPriority w:val="6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eastAsia="Tms Rm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l2br w:val="nil"/>
          <w:tr2bl w:val="nil"/>
        </w:tcBorders>
      </w:tcPr>
    </w:tblStylePr>
    <w:tblStylePr w:type="lastRow">
      <w:pPr>
        <w:spacing w:before="0" w:after="0" w:line="240" w:lineRule="auto"/>
      </w:pPr>
      <w:rPr>
        <w:rFonts w:eastAsia="Tms Rm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l2br w:val="nil"/>
          <w:tr2bl w:val="nil"/>
        </w:tcBorders>
      </w:tcPr>
    </w:tblStylePr>
    <w:tblStylePr w:type="firstCol">
      <w:rPr>
        <w:rFonts w:eastAsia="Tms Rmn" w:cs="Times New Roman"/>
        <w:b/>
        <w:bCs/>
      </w:rPr>
    </w:tblStylePr>
    <w:tblStylePr w:type="lastCol">
      <w:rPr>
        <w:rFonts w:eastAsia="Tms Rmn" w:cs="Times New Roman"/>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4BACC6"/>
          <w:tl2br w:val="nil"/>
          <w:tr2bl w:val="nil"/>
        </w:tcBorders>
      </w:tcPr>
    </w:tblStylePr>
  </w:style>
  <w:style w:type="table" w:customStyle="1" w:styleId="-110">
    <w:name w:val="浅色底纹 - 强调文字颜色 11"/>
    <w:basedOn w:val="a1"/>
    <w:uiPriority w:val="60"/>
    <w:rPr>
      <w:color w:val="365F91"/>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
    <w:name w:val="浅色列表 - 强调文字颜色 41"/>
    <w:basedOn w:val="a1"/>
    <w:uiPriority w:val="61"/>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customStyle="1" w:styleId="12">
    <w:name w:val="浅色底纹1"/>
    <w:basedOn w:val="a1"/>
    <w:uiPriority w:val="60"/>
    <w:rPr>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13" Type="http://schemas.openxmlformats.org/officeDocument/2006/relationships/chart" Target="charts/chart7.xml"/><Relationship Id="rId18" Type="http://schemas.openxmlformats.org/officeDocument/2006/relationships/chart" Target="charts/chart12.xml"/><Relationship Id="rId26" Type="http://schemas.openxmlformats.org/officeDocument/2006/relationships/image" Target="media/image3.emf"/><Relationship Id="rId39" Type="http://schemas.openxmlformats.org/officeDocument/2006/relationships/oleObject" Target="embeddings/oleObject9.bin"/><Relationship Id="rId21" Type="http://schemas.openxmlformats.org/officeDocument/2006/relationships/chart" Target="charts/chart15.xml"/><Relationship Id="rId34" Type="http://schemas.openxmlformats.org/officeDocument/2006/relationships/image" Target="media/image7.emf"/><Relationship Id="rId42" Type="http://schemas.openxmlformats.org/officeDocument/2006/relationships/image" Target="media/image11.emf"/><Relationship Id="rId47" Type="http://schemas.openxmlformats.org/officeDocument/2006/relationships/oleObject" Target="embeddings/oleObject13.bin"/><Relationship Id="rId50" Type="http://schemas.openxmlformats.org/officeDocument/2006/relationships/image" Target="media/image15.emf"/><Relationship Id="rId55" Type="http://schemas.openxmlformats.org/officeDocument/2006/relationships/footer" Target="footer2.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9.emf"/><Relationship Id="rId46"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chart" Target="charts/chart14.xml"/><Relationship Id="rId29" Type="http://schemas.openxmlformats.org/officeDocument/2006/relationships/oleObject" Target="embeddings/oleObject4.bin"/><Relationship Id="rId41" Type="http://schemas.openxmlformats.org/officeDocument/2006/relationships/oleObject" Target="embeddings/oleObject10.bin"/><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image" Target="media/image2.emf"/><Relationship Id="rId32" Type="http://schemas.openxmlformats.org/officeDocument/2006/relationships/image" Target="media/image6.emf"/><Relationship Id="rId37" Type="http://schemas.openxmlformats.org/officeDocument/2006/relationships/oleObject" Target="embeddings/oleObject8.bin"/><Relationship Id="rId40" Type="http://schemas.openxmlformats.org/officeDocument/2006/relationships/image" Target="media/image10.emf"/><Relationship Id="rId45" Type="http://schemas.openxmlformats.org/officeDocument/2006/relationships/oleObject" Target="embeddings/oleObject12.bin"/><Relationship Id="rId53"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oleObject" Target="embeddings/oleObject1.bin"/><Relationship Id="rId28" Type="http://schemas.openxmlformats.org/officeDocument/2006/relationships/image" Target="media/image4.emf"/><Relationship Id="rId36" Type="http://schemas.openxmlformats.org/officeDocument/2006/relationships/image" Target="media/image8.emf"/><Relationship Id="rId49" Type="http://schemas.openxmlformats.org/officeDocument/2006/relationships/oleObject" Target="embeddings/oleObject14.bin"/><Relationship Id="rId57" Type="http://schemas.openxmlformats.org/officeDocument/2006/relationships/theme" Target="theme/theme1.xml"/><Relationship Id="rId10" Type="http://schemas.openxmlformats.org/officeDocument/2006/relationships/chart" Target="charts/chart4.xml"/><Relationship Id="rId19" Type="http://schemas.openxmlformats.org/officeDocument/2006/relationships/chart" Target="charts/chart13.xml"/><Relationship Id="rId31" Type="http://schemas.openxmlformats.org/officeDocument/2006/relationships/oleObject" Target="embeddings/oleObject5.bin"/><Relationship Id="rId44" Type="http://schemas.openxmlformats.org/officeDocument/2006/relationships/image" Target="media/image12.emf"/><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image" Target="media/image1.emf"/><Relationship Id="rId27" Type="http://schemas.openxmlformats.org/officeDocument/2006/relationships/oleObject" Target="embeddings/oleObject3.bin"/><Relationship Id="rId30" Type="http://schemas.openxmlformats.org/officeDocument/2006/relationships/image" Target="media/image5.emf"/><Relationship Id="rId35" Type="http://schemas.openxmlformats.org/officeDocument/2006/relationships/oleObject" Target="embeddings/oleObject7.bin"/><Relationship Id="rId43" Type="http://schemas.openxmlformats.org/officeDocument/2006/relationships/oleObject" Target="embeddings/oleObject11.bin"/><Relationship Id="rId48" Type="http://schemas.openxmlformats.org/officeDocument/2006/relationships/image" Target="media/image14.emf"/><Relationship Id="rId56" Type="http://schemas.openxmlformats.org/officeDocument/2006/relationships/fontTable" Target="fontTable.xml"/><Relationship Id="rId8" Type="http://schemas.openxmlformats.org/officeDocument/2006/relationships/chart" Target="charts/chart2.xml"/><Relationship Id="rId51" Type="http://schemas.openxmlformats.org/officeDocument/2006/relationships/oleObject" Target="embeddings/oleObject15.bin"/><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7.jpeg"/><Relationship Id="rId1" Type="http://schemas.openxmlformats.org/officeDocument/2006/relationships/image" Target="media/image16.jpeg"/></Relationships>
</file>

<file path=word/_rels/header2.xml.rels><?xml version="1.0" encoding="UTF-8" standalone="yes"?>
<Relationships xmlns="http://schemas.openxmlformats.org/package/2006/relationships"><Relationship Id="rId2" Type="http://schemas.openxmlformats.org/officeDocument/2006/relationships/image" Target="media/image17.jpeg"/><Relationship Id="rId1" Type="http://schemas.openxmlformats.org/officeDocument/2006/relationships/image" Target="media/image16.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3601;&#19994;&#36136;&#37327;&#25253;&#21578;\&#21508;&#23398;&#37096;&#27605;&#19994;&#29983;&#20998;&#24067;&#24773;&#20917;.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3601;&#19994;&#36136;&#37327;&#25253;&#21578;\&#26032;&#24314;%20Microsoft%20Excel%2097-2003%20&#24037;&#20316;&#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3601;&#19994;&#36136;&#37327;&#25253;&#21578;\&#21508;&#23398;&#37096;&#23601;&#19994;&#29575;&#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3601;&#19994;&#36136;&#37327;&#25253;&#21578;\&#21508;&#23398;&#37096;&#30007;&#22899;&#23601;&#19994;&#29575;.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Administrator\&#26700;&#38754;\&#23601;&#19994;&#36136;&#37327;&#25253;&#21578;\&#19981;&#21516;&#24615;&#21035;&#27605;&#19994;&#29983;&#30340;&#27605;&#19994;&#27969;&#2152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3601;&#19994;&#36136;&#37327;&#25253;&#21578;\&#21508;&#23398;&#37096;&#21333;&#20301;&#23601;&#19994;&#29575;.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3601;&#19994;&#36136;&#37327;&#25253;&#21578;\&#21508;&#23398;&#37096;&#21319;&#23398;&#20986;&#22269;&#29575;.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istrator\Desktop\&#23601;&#19994;&#36136;&#37327;&#25253;&#21578;\&#21508;&#23398;&#37096;&#21319;&#23398;&#20986;&#22269;&#29575;.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I~1\AppData\Local\Temp\Rar$DIb0.101\2017&#23626;&#27605;&#19994;&#29983;&#21319;&#23398;&#30340;&#21407;&#2224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istrator\Desktop\&#23601;&#19994;&#36136;&#37327;&#25253;&#21578;\&#21508;&#23398;&#37096;&#23601;&#19994;&#29575;&#34920;.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dministrator\Desktop\&#23601;&#19994;&#36136;&#37327;&#25253;&#21578;\&#19981;&#21516;&#24615;&#21035;&#27605;&#19994;&#29983;&#30340;&#27605;&#19994;&#27969;&#21521;.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istrator\Desktop\&#23601;&#19994;&#36136;&#37327;&#25253;&#21578;\&#21508;&#23398;&#37096;&#21333;&#20301;&#23601;&#19994;&#29575;.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Administrator\&#26700;&#38754;\&#34892;&#19994;&#20998;&#24067;&#22270;.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Documents%20and%20Settings\Administrator\&#26700;&#38754;\&#23601;&#19994;&#36136;&#37327;&#25253;&#21578;\&#21508;&#23398;&#37096;&#23601;&#19994;&#29575;&#34920;.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Documents%20and%20Settings\Administrator\&#26700;&#38754;\&#23601;&#19994;&#36136;&#37327;&#25253;&#21578;\&#21508;&#23398;&#37096;&#21333;&#20301;&#23601;&#19994;&#2957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rPr lang="en-US" altLang="zh-CN" sz="14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2017</a:t>
            </a:r>
            <a:r>
              <a:rPr altLang="en-US" sz="1400" b="0" i="0" u="none" strike="noStrike" baseline="0">
                <a:solidFill>
                  <a:srgbClr val="333333"/>
                </a:solidFill>
                <a:latin typeface="宋体" panose="02010600030101010101" charset="-122"/>
                <a:ea typeface="宋体" panose="02010600030101010101" charset="-122"/>
                <a:cs typeface="宋体" panose="02010600030101010101" charset="-122"/>
              </a:rPr>
              <a:t>届</a:t>
            </a:r>
            <a:endParaRPr altLang="en-US"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spPr>
        <a:noFill/>
        <a:ln>
          <a:noFill/>
        </a:ln>
        <a:effectLst/>
      </c:spPr>
    </c:title>
    <c:plotArea>
      <c:layout/>
      <c:pieChart>
        <c:varyColors val="1"/>
        <c:ser>
          <c:idx val="0"/>
          <c:order val="0"/>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Pt>
            <c:idx val="4"/>
            <c:spPr>
              <a:solidFill>
                <a:srgbClr val="4BACC6"/>
              </a:solidFill>
              <a:ln w="19050">
                <a:solidFill>
                  <a:srgbClr val="FFFFFF"/>
                </a:solidFill>
              </a:ln>
              <a:effectLst/>
            </c:spPr>
          </c:dPt>
          <c:dPt>
            <c:idx val="5"/>
            <c:spPr>
              <a:solidFill>
                <a:srgbClr val="F79646"/>
              </a:solidFill>
              <a:ln w="19050">
                <a:solidFill>
                  <a:srgbClr val="FFFFFF"/>
                </a:solidFill>
              </a:ln>
              <a:effectLst/>
            </c:spPr>
          </c:dPt>
          <c:dPt>
            <c:idx val="6"/>
            <c:spPr>
              <a:solidFill>
                <a:srgbClr val="2C4D75">
                  <a:lumMod val="60000"/>
                </a:srgbClr>
              </a:solidFill>
              <a:ln w="19050">
                <a:solidFill>
                  <a:srgbClr val="FFFFFF"/>
                </a:solidFill>
              </a:ln>
              <a:effectLst/>
            </c:spPr>
          </c:dPt>
          <c:dLbls>
            <c:dLbl>
              <c:idx val="0"/>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a:t>
                    </a:r>
                    <a:r>
                      <a:rPr lang="en-US" altLang="zh-CN" sz="9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198</a:t>
                    </a:r>
                    <a:r>
                      <a:rPr altLang="en-US" sz="900" b="0" i="0" u="none" strike="noStrike" baseline="0">
                        <a:solidFill>
                          <a:srgbClr val="333333"/>
                        </a:solidFill>
                        <a:latin typeface="宋体" panose="02010600030101010101" charset="-122"/>
                        <a:ea typeface="宋体" panose="02010600030101010101" charset="-122"/>
                        <a:cs typeface="宋体" panose="02010600030101010101" charset="-122"/>
                      </a:rPr>
                      <a:t>人）</a:t>
                    </a:r>
                  </a:p>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11%</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spPr>
                <a:noFill/>
                <a:ln>
                  <a:noFill/>
                </a:ln>
                <a:effectLst/>
              </c:spPr>
              <c:dLblPos val="outEnd"/>
              <c:showPercent val="1"/>
              <c:extLst>
                <c:ext xmlns:c15="http://schemas.microsoft.com/office/drawing/2012/chart" uri="{CE6537A1-D6FC-4f65-9D91-7224C49458BB}"/>
              </c:extLst>
            </c:dLbl>
            <c:dLbl>
              <c:idx val="1"/>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rPr altLang="en-US" sz="900" b="0" i="0" u="none" strike="noStrike" baseline="0">
                        <a:solidFill>
                          <a:srgbClr val="333333"/>
                        </a:solidFill>
                        <a:latin typeface="宋体" panose="02010600030101010101" charset="-122"/>
                        <a:ea typeface="宋体" panose="02010600030101010101" charset="-122"/>
                        <a:cs typeface="宋体" panose="02010600030101010101" charset="-122"/>
                      </a:rPr>
                      <a:t>（</a:t>
                    </a:r>
                    <a:r>
                      <a:rPr lang="en-US" altLang="zh-CN" sz="9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136</a:t>
                    </a:r>
                    <a:r>
                      <a:rPr altLang="en-US" sz="900" b="0" i="0" u="none" strike="noStrike" baseline="0">
                        <a:solidFill>
                          <a:srgbClr val="333333"/>
                        </a:solidFill>
                        <a:latin typeface="宋体" panose="02010600030101010101" charset="-122"/>
                        <a:ea typeface="宋体" panose="02010600030101010101" charset="-122"/>
                        <a:cs typeface="宋体" panose="02010600030101010101" charset="-122"/>
                      </a:rPr>
                      <a:t>人）</a:t>
                    </a:r>
                  </a:p>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8%</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spPr>
                <a:noFill/>
                <a:ln>
                  <a:noFill/>
                </a:ln>
                <a:effectLst/>
              </c:spPr>
              <c:dLblPos val="outEnd"/>
              <c:showPercent val="1"/>
              <c:extLst>
                <c:ext xmlns:c15="http://schemas.microsoft.com/office/drawing/2012/chart" uri="{CE6537A1-D6FC-4f65-9D91-7224C49458BB}"/>
              </c:extLst>
            </c:dLbl>
            <c:dLbl>
              <c:idx val="2"/>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a:t>
                    </a:r>
                    <a:r>
                      <a:rPr lang="en-US" altLang="zh-CN" sz="9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241</a:t>
                    </a:r>
                    <a:r>
                      <a:rPr altLang="en-US" sz="900" b="0" i="0" u="none" strike="noStrike" baseline="0">
                        <a:solidFill>
                          <a:srgbClr val="333333"/>
                        </a:solidFill>
                        <a:latin typeface="宋体" panose="02010600030101010101" charset="-122"/>
                        <a:ea typeface="宋体" panose="02010600030101010101" charset="-122"/>
                        <a:cs typeface="宋体" panose="02010600030101010101" charset="-122"/>
                      </a:rPr>
                      <a:t>人）</a:t>
                    </a:r>
                  </a:p>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13%</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spPr>
                <a:noFill/>
                <a:ln>
                  <a:noFill/>
                </a:ln>
                <a:effectLst/>
              </c:spPr>
              <c:dLblPos val="outEnd"/>
              <c:showPercent val="1"/>
              <c:extLst>
                <c:ext xmlns:c15="http://schemas.microsoft.com/office/drawing/2012/chart" uri="{CE6537A1-D6FC-4f65-9D91-7224C49458BB}"/>
              </c:extLst>
            </c:dLbl>
            <c:dLbl>
              <c:idx val="3"/>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a:t>
                    </a:r>
                    <a:r>
                      <a:rPr lang="en-US" altLang="zh-CN" sz="9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241</a:t>
                    </a:r>
                    <a:r>
                      <a:rPr altLang="en-US" sz="900" b="0" i="0" u="none" strike="noStrike" baseline="0">
                        <a:solidFill>
                          <a:srgbClr val="333333"/>
                        </a:solidFill>
                        <a:latin typeface="宋体" panose="02010600030101010101" charset="-122"/>
                        <a:ea typeface="宋体" panose="02010600030101010101" charset="-122"/>
                        <a:cs typeface="宋体" panose="02010600030101010101" charset="-122"/>
                      </a:rPr>
                      <a:t>人）</a:t>
                    </a:r>
                  </a:p>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13%</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spPr>
                <a:noFill/>
                <a:ln>
                  <a:noFill/>
                </a:ln>
                <a:effectLst/>
              </c:spPr>
              <c:dLblPos val="outEnd"/>
              <c:showPercent val="1"/>
              <c:extLst>
                <c:ext xmlns:c15="http://schemas.microsoft.com/office/drawing/2012/chart" uri="{CE6537A1-D6FC-4f65-9D91-7224C49458BB}"/>
              </c:extLst>
            </c:dLbl>
            <c:dLbl>
              <c:idx val="4"/>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rPr altLang="en-US" sz="900" b="0" i="0" u="none" strike="noStrike" baseline="0">
                        <a:solidFill>
                          <a:srgbClr val="333333"/>
                        </a:solidFill>
                        <a:latin typeface="宋体" panose="02010600030101010101" charset="-122"/>
                        <a:ea typeface="宋体" panose="02010600030101010101" charset="-122"/>
                        <a:cs typeface="宋体" panose="02010600030101010101" charset="-122"/>
                      </a:rPr>
                      <a:t>（</a:t>
                    </a:r>
                    <a:r>
                      <a:rPr lang="en-US" altLang="zh-CN" sz="9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346</a:t>
                    </a:r>
                    <a:r>
                      <a:rPr altLang="en-US" sz="900" b="0" i="0" u="none" strike="noStrike" baseline="0">
                        <a:solidFill>
                          <a:srgbClr val="333333"/>
                        </a:solidFill>
                        <a:latin typeface="宋体" panose="02010600030101010101" charset="-122"/>
                        <a:ea typeface="宋体" panose="02010600030101010101" charset="-122"/>
                        <a:cs typeface="宋体" panose="02010600030101010101" charset="-122"/>
                      </a:rPr>
                      <a:t>人）</a:t>
                    </a:r>
                  </a:p>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19%</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spPr>
                <a:noFill/>
                <a:ln>
                  <a:noFill/>
                </a:ln>
                <a:effectLst/>
              </c:spPr>
              <c:dLblPos val="outEnd"/>
              <c:showPercent val="1"/>
              <c:extLst>
                <c:ext xmlns:c15="http://schemas.microsoft.com/office/drawing/2012/chart" uri="{CE6537A1-D6FC-4f65-9D91-7224C49458BB}"/>
              </c:extLst>
            </c:dLbl>
            <c:dLbl>
              <c:idx val="5"/>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a:t>
                    </a:r>
                    <a:r>
                      <a:rPr lang="en-US" altLang="zh-CN" sz="9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242</a:t>
                    </a:r>
                    <a:r>
                      <a:rPr altLang="en-US" sz="900" b="0" i="0" u="none" strike="noStrike" baseline="0">
                        <a:solidFill>
                          <a:srgbClr val="333333"/>
                        </a:solidFill>
                        <a:latin typeface="宋体" panose="02010600030101010101" charset="-122"/>
                        <a:ea typeface="宋体" panose="02010600030101010101" charset="-122"/>
                        <a:cs typeface="宋体" panose="02010600030101010101" charset="-122"/>
                      </a:rPr>
                      <a:t>人）</a:t>
                    </a:r>
                  </a:p>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13%</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spPr>
                <a:noFill/>
                <a:ln>
                  <a:noFill/>
                </a:ln>
                <a:effectLst/>
              </c:spPr>
              <c:dLblPos val="outEnd"/>
              <c:showPercent val="1"/>
              <c:extLst>
                <c:ext xmlns:c15="http://schemas.microsoft.com/office/drawing/2012/chart" uri="{CE6537A1-D6FC-4f65-9D91-7224C49458BB}"/>
              </c:extLst>
            </c:dLbl>
            <c:dLbl>
              <c:idx val="6"/>
              <c:tx>
                <c:rich>
                  <a:bodyPr rot="0" spcFirstLastPara="0" vertOverflow="ellipsis" vert="horz" wrap="square" lIns="38100" tIns="19050" rIns="38100" bIns="19050" anchor="ctr" anchorCtr="1"/>
                  <a:lstStyle/>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a:t>
                    </a:r>
                    <a:r>
                      <a:rPr lang="en-US" altLang="zh-CN" sz="900" b="0" i="0" u="none" strike="noStrike" baseline="0">
                        <a:solidFill>
                          <a:srgbClr val="333333"/>
                        </a:solidFill>
                        <a:latin typeface="Calibri" panose="020F0502020204030204" pitchFamily="2" charset="0"/>
                        <a:ea typeface="Calibri" panose="020F0502020204030204" pitchFamily="2" charset="0"/>
                        <a:cs typeface="Calibri" panose="020F0502020204030204" pitchFamily="2" charset="0"/>
                      </a:rPr>
                      <a:t>407</a:t>
                    </a:r>
                    <a:r>
                      <a:rPr altLang="en-US" sz="900" b="0" i="0" u="none" strike="noStrike" baseline="0">
                        <a:solidFill>
                          <a:srgbClr val="333333"/>
                        </a:solidFill>
                        <a:latin typeface="宋体" panose="02010600030101010101" charset="-122"/>
                        <a:ea typeface="宋体" panose="02010600030101010101" charset="-122"/>
                        <a:cs typeface="宋体" panose="02010600030101010101" charset="-122"/>
                      </a:rPr>
                      <a:t>人）</a:t>
                    </a:r>
                  </a:p>
                  <a:p>
                    <a:pPr defTabSz="914400">
                      <a:defRPr lang="zh-CN" sz="900" b="0" i="0" u="none" strike="noStrike" kern="1200" baseline="0">
                        <a:solidFill>
                          <a:srgbClr val="404040">
                            <a:lumMod val="75000"/>
                            <a:lumOff val="25000"/>
                          </a:srgbClr>
                        </a:solidFill>
                        <a:latin typeface="+mn-lt"/>
                        <a:ea typeface="+mn-ea"/>
                        <a:cs typeface="+mn-cs"/>
                      </a:defRPr>
                    </a:pPr>
                    <a:r>
                      <a:rPr sz="900" b="0" i="0" u="none" strike="noStrike" baseline="0">
                        <a:solidFill>
                          <a:srgbClr val="333333"/>
                        </a:solidFill>
                        <a:latin typeface="宋体" panose="02010600030101010101" charset="-122"/>
                        <a:ea typeface="宋体" panose="02010600030101010101" charset="-122"/>
                        <a:cs typeface="宋体" panose="02010600030101010101" charset="-122"/>
                      </a:rPr>
                      <a:t>23%</a:t>
                    </a:r>
                    <a:endParaRPr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spPr>
                <a:noFill/>
                <a:ln>
                  <a:noFill/>
                </a:ln>
                <a:effectLst/>
              </c:spPr>
              <c:dLblPos val="outEnd"/>
              <c:showPercent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outEnd"/>
            <c:showPercent val="1"/>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[各学部毕业生分布情况.xls]Sheet2!$D$6:$D$12</c:f>
              <c:strCache>
                <c:ptCount val="7"/>
                <c:pt idx="0">
                  <c:v>人文学部</c:v>
                </c:pt>
                <c:pt idx="1">
                  <c:v>理学部</c:v>
                </c:pt>
                <c:pt idx="2">
                  <c:v>经济与管理学部</c:v>
                </c:pt>
                <c:pt idx="3">
                  <c:v>信息科学部</c:v>
                </c:pt>
                <c:pt idx="4">
                  <c:v>工程学部</c:v>
                </c:pt>
                <c:pt idx="5">
                  <c:v>医学部（四）</c:v>
                </c:pt>
                <c:pt idx="6">
                  <c:v>医学部（五）</c:v>
                </c:pt>
              </c:strCache>
            </c:strRef>
          </c:cat>
          <c:val>
            <c:numRef>
              <c:f>[各学部毕业生分布情况.xls]Sheet2!$E$6:$E$12</c:f>
              <c:numCache>
                <c:formatCode>General</c:formatCode>
                <c:ptCount val="7"/>
                <c:pt idx="0">
                  <c:v>198</c:v>
                </c:pt>
                <c:pt idx="1">
                  <c:v>136</c:v>
                </c:pt>
                <c:pt idx="2">
                  <c:v>241</c:v>
                </c:pt>
                <c:pt idx="3">
                  <c:v>241</c:v>
                </c:pt>
                <c:pt idx="4">
                  <c:v>346</c:v>
                </c:pt>
                <c:pt idx="5">
                  <c:v>242</c:v>
                </c:pt>
                <c:pt idx="6">
                  <c:v>407</c:v>
                </c:pt>
              </c:numCache>
            </c:numRef>
          </c:val>
        </c:ser>
        <c:firstSliceAng val="0"/>
      </c:pieChart>
      <c:spPr>
        <a:noFill/>
        <a:ln>
          <a:noFill/>
        </a:ln>
        <a:effectLst/>
      </c:spPr>
    </c:plotArea>
    <c:legend>
      <c:legendPos val="r"/>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Lbls>
            <c:dLbl>
              <c:idx val="0"/>
              <c:layout>
                <c:manualLayout>
                  <c:x val="-0.14549701158865805"/>
                  <c:y val="7.2154421033053931E-2"/>
                </c:manualLayout>
              </c:layout>
              <c:tx>
                <c:rich>
                  <a:bodyPr/>
                  <a:lstStyle/>
                  <a:p>
                    <a:r>
                      <a:rPr lang="en-US" altLang="zh-CN"/>
                      <a:t>40.64%</a:t>
                    </a:r>
                  </a:p>
                  <a:p>
                    <a:r>
                      <a:rPr altLang="en-US"/>
                      <a:t>（</a:t>
                    </a:r>
                    <a:r>
                      <a:t>736人）</a:t>
                    </a:r>
                  </a:p>
                </c:rich>
              </c:tx>
              <c:dLblPos val="bestFit"/>
              <c:showVal val="1"/>
              <c:extLst>
                <c:ext xmlns:c15="http://schemas.microsoft.com/office/drawing/2012/chart" uri="{CE6537A1-D6FC-4f65-9D91-7224C49458BB}">
                  <c15:layout/>
                </c:ext>
              </c:extLst>
            </c:dLbl>
            <c:dLbl>
              <c:idx val="1"/>
              <c:layout>
                <c:manualLayout>
                  <c:x val="0.16713598956985701"/>
                  <c:y val="-8.4746863054821542E-2"/>
                </c:manualLayout>
              </c:layout>
              <c:tx>
                <c:rich>
                  <a:bodyPr/>
                  <a:lstStyle/>
                  <a:p>
                    <a:r>
                      <a:rPr lang="en-US" altLang="zh-CN"/>
                      <a:t>59.36%</a:t>
                    </a:r>
                  </a:p>
                  <a:p>
                    <a:r>
                      <a:t>（1075人）</a:t>
                    </a:r>
                  </a:p>
                </c:rich>
              </c:tx>
              <c:dLblPos val="bestFit"/>
              <c:showVal val="1"/>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'[新建 Microsoft Excel 97-2003 工作表.xls]Sheet1'!$F$16:$F$17</c:f>
              <c:strCache>
                <c:ptCount val="2"/>
                <c:pt idx="0">
                  <c:v>男</c:v>
                </c:pt>
                <c:pt idx="1">
                  <c:v>女</c:v>
                </c:pt>
              </c:strCache>
            </c:strRef>
          </c:cat>
          <c:val>
            <c:numRef>
              <c:f>'[新建 Microsoft Excel 97-2003 工作表.xls]Sheet1'!$G$16:$G$17</c:f>
              <c:numCache>
                <c:formatCode>General</c:formatCode>
                <c:ptCount val="2"/>
                <c:pt idx="0">
                  <c:v>736</c:v>
                </c:pt>
                <c:pt idx="1">
                  <c:v>1075</c:v>
                </c:pt>
              </c:numCache>
            </c:numRef>
          </c:val>
        </c:ser>
        <c:dLbls>
          <c:showVal val="1"/>
        </c:dLbls>
        <c:firstSliceAng val="0"/>
      </c:pieChart>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[各学部就业率表.xls]Sheet1!$A$3</c:f>
              <c:strCache>
                <c:ptCount val="1"/>
                <c:pt idx="0">
                  <c:v>年终就业率</c:v>
                </c:pt>
              </c:strCache>
            </c:strRef>
          </c:tx>
          <c:spPr>
            <a:solidFill>
              <a:srgbClr val="4F81BD"/>
            </a:solidFill>
            <a:ln>
              <a:noFill/>
            </a:ln>
            <a:effectLst/>
          </c:spPr>
          <c:cat>
            <c:strRef>
              <c:f>[各学部就业率表.xls]Sheet1!$B$2:$H$2</c:f>
              <c:strCache>
                <c:ptCount val="7"/>
                <c:pt idx="0">
                  <c:v>人文学部</c:v>
                </c:pt>
                <c:pt idx="1">
                  <c:v>理学部</c:v>
                </c:pt>
                <c:pt idx="2">
                  <c:v>经济与管理学部</c:v>
                </c:pt>
                <c:pt idx="3">
                  <c:v>信息科学部</c:v>
                </c:pt>
                <c:pt idx="4">
                  <c:v>工程学部</c:v>
                </c:pt>
                <c:pt idx="5">
                  <c:v>医学部（四）</c:v>
                </c:pt>
                <c:pt idx="6">
                  <c:v>医学部（五）</c:v>
                </c:pt>
              </c:strCache>
            </c:strRef>
          </c:cat>
          <c:val>
            <c:numRef>
              <c:f>[各学部就业率表.xls]Sheet1!$B$3:$H$3</c:f>
              <c:numCache>
                <c:formatCode>0%</c:formatCode>
                <c:ptCount val="7"/>
                <c:pt idx="0">
                  <c:v>1</c:v>
                </c:pt>
                <c:pt idx="1">
                  <c:v>1</c:v>
                </c:pt>
                <c:pt idx="2" formatCode="0.00%">
                  <c:v>0.99170000000000003</c:v>
                </c:pt>
                <c:pt idx="3" formatCode="0.00%">
                  <c:v>0.99590000000000001</c:v>
                </c:pt>
                <c:pt idx="4" formatCode="0.00%">
                  <c:v>1</c:v>
                </c:pt>
                <c:pt idx="5" formatCode="0.00%">
                  <c:v>0.99590000000000001</c:v>
                </c:pt>
                <c:pt idx="6" formatCode="0.00%">
                  <c:v>0.91149999999999998</c:v>
                </c:pt>
              </c:numCache>
            </c:numRef>
          </c:val>
        </c:ser>
        <c:gapWidth val="219"/>
        <c:overlap val="-27"/>
        <c:axId val="145631488"/>
        <c:axId val="145637376"/>
      </c:barChart>
      <c:catAx>
        <c:axId val="145631488"/>
        <c:scaling>
          <c:orientation val="minMax"/>
        </c:scaling>
        <c:axPos val="b"/>
        <c:majorTickMark val="in"/>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637376"/>
        <c:crosses val="autoZero"/>
        <c:auto val="1"/>
        <c:lblAlgn val="ctr"/>
        <c:lblOffset val="100"/>
      </c:catAx>
      <c:valAx>
        <c:axId val="145637376"/>
        <c:scaling>
          <c:orientation val="minMax"/>
        </c:scaling>
        <c:axPos val="l"/>
        <c:numFmt formatCode="0%" sourceLinked="1"/>
        <c:majorTickMark val="in"/>
        <c:tickLblPos val="nextTo"/>
        <c:spPr>
          <a:noFill/>
          <a:ln w="6350" cap="flat" cmpd="sng" algn="ctr">
            <a:no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631488"/>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[各学部男女就业率.xls]Sheet1!$B$3</c:f>
              <c:strCache>
                <c:ptCount val="1"/>
                <c:pt idx="0">
                  <c:v>男</c:v>
                </c:pt>
              </c:strCache>
            </c:strRef>
          </c:tx>
          <c:spPr>
            <a:solidFill>
              <a:srgbClr val="4F81BD"/>
            </a:solidFill>
            <a:ln>
              <a:noFill/>
            </a:ln>
            <a:effectLst/>
          </c:spPr>
          <c:cat>
            <c:strRef>
              <c:f>[各学部男女就业率.xls]Sheet1!$C$2:$I$2</c:f>
              <c:strCache>
                <c:ptCount val="7"/>
                <c:pt idx="0">
                  <c:v>人文学部</c:v>
                </c:pt>
                <c:pt idx="1">
                  <c:v>理学部</c:v>
                </c:pt>
                <c:pt idx="2">
                  <c:v>经管学部</c:v>
                </c:pt>
                <c:pt idx="3">
                  <c:v>信科学部</c:v>
                </c:pt>
                <c:pt idx="4">
                  <c:v>工程学部</c:v>
                </c:pt>
                <c:pt idx="5">
                  <c:v>医学部（四）</c:v>
                </c:pt>
                <c:pt idx="6">
                  <c:v>医学部（五）</c:v>
                </c:pt>
              </c:strCache>
            </c:strRef>
          </c:cat>
          <c:val>
            <c:numRef>
              <c:f>[各学部男女就业率.xls]Sheet1!$C$3:$I$3</c:f>
              <c:numCache>
                <c:formatCode>0.00%</c:formatCode>
                <c:ptCount val="7"/>
                <c:pt idx="0">
                  <c:v>1</c:v>
                </c:pt>
                <c:pt idx="1">
                  <c:v>1</c:v>
                </c:pt>
                <c:pt idx="2">
                  <c:v>0.98039999999999983</c:v>
                </c:pt>
                <c:pt idx="3">
                  <c:v>0.99419999999999997</c:v>
                </c:pt>
                <c:pt idx="4">
                  <c:v>1</c:v>
                </c:pt>
                <c:pt idx="5">
                  <c:v>0.96970000000000023</c:v>
                </c:pt>
                <c:pt idx="6">
                  <c:v>0.90820000000000001</c:v>
                </c:pt>
              </c:numCache>
            </c:numRef>
          </c:val>
        </c:ser>
        <c:ser>
          <c:idx val="1"/>
          <c:order val="1"/>
          <c:tx>
            <c:strRef>
              <c:f>[各学部男女就业率.xls]Sheet1!$B$4</c:f>
              <c:strCache>
                <c:ptCount val="1"/>
                <c:pt idx="0">
                  <c:v>女</c:v>
                </c:pt>
              </c:strCache>
            </c:strRef>
          </c:tx>
          <c:spPr>
            <a:solidFill>
              <a:srgbClr val="C0504D"/>
            </a:solidFill>
            <a:ln>
              <a:noFill/>
            </a:ln>
            <a:effectLst/>
          </c:spPr>
          <c:cat>
            <c:strRef>
              <c:f>[各学部男女就业率.xls]Sheet1!$C$2:$I$2</c:f>
              <c:strCache>
                <c:ptCount val="7"/>
                <c:pt idx="0">
                  <c:v>人文学部</c:v>
                </c:pt>
                <c:pt idx="1">
                  <c:v>理学部</c:v>
                </c:pt>
                <c:pt idx="2">
                  <c:v>经管学部</c:v>
                </c:pt>
                <c:pt idx="3">
                  <c:v>信科学部</c:v>
                </c:pt>
                <c:pt idx="4">
                  <c:v>工程学部</c:v>
                </c:pt>
                <c:pt idx="5">
                  <c:v>医学部（四）</c:v>
                </c:pt>
                <c:pt idx="6">
                  <c:v>医学部（五）</c:v>
                </c:pt>
              </c:strCache>
            </c:strRef>
          </c:cat>
          <c:val>
            <c:numRef>
              <c:f>[各学部男女就业率.xls]Sheet1!$C$4:$I$4</c:f>
              <c:numCache>
                <c:formatCode>0.00%</c:formatCode>
                <c:ptCount val="7"/>
                <c:pt idx="0">
                  <c:v>1</c:v>
                </c:pt>
                <c:pt idx="1">
                  <c:v>1</c:v>
                </c:pt>
                <c:pt idx="2">
                  <c:v>0.99470000000000003</c:v>
                </c:pt>
                <c:pt idx="3">
                  <c:v>1</c:v>
                </c:pt>
                <c:pt idx="4">
                  <c:v>1</c:v>
                </c:pt>
                <c:pt idx="5">
                  <c:v>1</c:v>
                </c:pt>
                <c:pt idx="6">
                  <c:v>0.91473000000000004</c:v>
                </c:pt>
              </c:numCache>
            </c:numRef>
          </c:val>
        </c:ser>
        <c:gapWidth val="219"/>
        <c:overlap val="-27"/>
        <c:axId val="145663872"/>
        <c:axId val="145665408"/>
      </c:barChart>
      <c:catAx>
        <c:axId val="145663872"/>
        <c:scaling>
          <c:orientation val="minMax"/>
        </c:scaling>
        <c:axPos val="b"/>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665408"/>
        <c:crosses val="autoZero"/>
        <c:auto val="1"/>
        <c:lblAlgn val="ctr"/>
        <c:lblOffset val="100"/>
      </c:catAx>
      <c:valAx>
        <c:axId val="145665408"/>
        <c:scaling>
          <c:orientation val="minMax"/>
        </c:scaling>
        <c:axPos val="l"/>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663872"/>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[不同性别毕业生的毕业流向.xls]Sheet2!$B$2:$E$2</c:f>
              <c:strCache>
                <c:ptCount val="4"/>
                <c:pt idx="0">
                  <c:v>单位就业率</c:v>
                </c:pt>
                <c:pt idx="1">
                  <c:v>升学出国率</c:v>
                </c:pt>
                <c:pt idx="2">
                  <c:v>灵活就业率</c:v>
                </c:pt>
                <c:pt idx="3">
                  <c:v>未就业率</c:v>
                </c:pt>
              </c:strCache>
            </c:strRef>
          </c:cat>
          <c:val>
            <c:numRef>
              <c:f>[不同性别毕业生的毕业流向.xls]Sheet2!$B$3:$E$3</c:f>
              <c:numCache>
                <c:formatCode>0.00%</c:formatCode>
                <c:ptCount val="4"/>
                <c:pt idx="0">
                  <c:v>0.88239999999999996</c:v>
                </c:pt>
                <c:pt idx="1">
                  <c:v>4.3600000000000007E-2</c:v>
                </c:pt>
                <c:pt idx="2">
                  <c:v>5.1900000000000002E-2</c:v>
                </c:pt>
                <c:pt idx="3">
                  <c:v>2.2100000000000005E-2</c:v>
                </c:pt>
              </c:numCache>
            </c:numRef>
          </c:val>
        </c:ser>
        <c:dLbls>
          <c:showVal val="1"/>
        </c:dLbls>
        <c:firstSliceAng val="0"/>
      </c:pieChart>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[各学部单位就业率.xls]Sheet1!$B$4</c:f>
              <c:strCache>
                <c:ptCount val="1"/>
                <c:pt idx="0">
                  <c:v>单位就业率</c:v>
                </c:pt>
              </c:strCache>
            </c:strRef>
          </c:tx>
          <c:spPr>
            <a:solidFill>
              <a:srgbClr val="4F81BD"/>
            </a:solidFill>
            <a:ln>
              <a:noFill/>
            </a:ln>
            <a:effectLst/>
          </c:spPr>
          <c:cat>
            <c:strRef>
              <c:f>[各学部单位就业率.xls]Sheet1!$C$3:$H$3</c:f>
              <c:strCache>
                <c:ptCount val="6"/>
                <c:pt idx="0">
                  <c:v>人文学部</c:v>
                </c:pt>
                <c:pt idx="1">
                  <c:v>理学部</c:v>
                </c:pt>
                <c:pt idx="2">
                  <c:v>经管学部</c:v>
                </c:pt>
                <c:pt idx="3">
                  <c:v>信息科学部</c:v>
                </c:pt>
                <c:pt idx="4">
                  <c:v>工程学部</c:v>
                </c:pt>
                <c:pt idx="5">
                  <c:v>医学部</c:v>
                </c:pt>
              </c:strCache>
            </c:strRef>
          </c:cat>
          <c:val>
            <c:numRef>
              <c:f>[各学部单位就业率.xls]Sheet1!$C$4:$H$4</c:f>
              <c:numCache>
                <c:formatCode>0.00%</c:formatCode>
                <c:ptCount val="6"/>
                <c:pt idx="0">
                  <c:v>0.94440999999999997</c:v>
                </c:pt>
                <c:pt idx="1">
                  <c:v>0.99260000000000004</c:v>
                </c:pt>
                <c:pt idx="2">
                  <c:v>0.98339999999999983</c:v>
                </c:pt>
                <c:pt idx="3">
                  <c:v>0.99170000000000003</c:v>
                </c:pt>
                <c:pt idx="4">
                  <c:v>0.99129999999999996</c:v>
                </c:pt>
                <c:pt idx="5">
                  <c:v>0.82430000000000003</c:v>
                </c:pt>
              </c:numCache>
            </c:numRef>
          </c:val>
        </c:ser>
        <c:gapWidth val="219"/>
        <c:overlap val="-27"/>
        <c:axId val="145743872"/>
        <c:axId val="145745408"/>
      </c:barChart>
      <c:catAx>
        <c:axId val="145743872"/>
        <c:scaling>
          <c:orientation val="minMax"/>
        </c:scaling>
        <c:axPos val="b"/>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745408"/>
        <c:crosses val="autoZero"/>
        <c:auto val="1"/>
        <c:lblAlgn val="ctr"/>
        <c:lblOffset val="100"/>
      </c:catAx>
      <c:valAx>
        <c:axId val="145745408"/>
        <c:scaling>
          <c:orientation val="minMax"/>
        </c:scaling>
        <c:axPos val="l"/>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spPr>
          <a:noFill/>
          <a:ln w="6350"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743872"/>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spPr>
            <a:solidFill>
              <a:srgbClr val="4F81BD"/>
            </a:solidFill>
            <a:ln>
              <a:noFill/>
            </a:ln>
            <a:effectLst/>
          </c:spPr>
          <c:cat>
            <c:strRef>
              <c:f>[各学部升学出国率.xls]Sheet1!$B$2:$B$8</c:f>
              <c:strCache>
                <c:ptCount val="7"/>
                <c:pt idx="0">
                  <c:v>人文学部</c:v>
                </c:pt>
                <c:pt idx="1">
                  <c:v>理学部</c:v>
                </c:pt>
                <c:pt idx="2">
                  <c:v>信息科学部</c:v>
                </c:pt>
                <c:pt idx="3">
                  <c:v>经济与管理学部</c:v>
                </c:pt>
                <c:pt idx="4">
                  <c:v>工程学部</c:v>
                </c:pt>
                <c:pt idx="5">
                  <c:v>医学部（四） </c:v>
                </c:pt>
                <c:pt idx="6">
                  <c:v>医学部（五）</c:v>
                </c:pt>
              </c:strCache>
            </c:strRef>
          </c:cat>
          <c:val>
            <c:numRef>
              <c:f>[各学部升学出国率.xls]Sheet1!$C$2:$C$8</c:f>
              <c:numCache>
                <c:formatCode>0.00%</c:formatCode>
                <c:ptCount val="7"/>
                <c:pt idx="0">
                  <c:v>5.0500000000000003E-2</c:v>
                </c:pt>
                <c:pt idx="1">
                  <c:v>8.0900000000000027E-2</c:v>
                </c:pt>
                <c:pt idx="2">
                  <c:v>4.1500000000000009E-2</c:v>
                </c:pt>
                <c:pt idx="3">
                  <c:v>4.9800000000000018E-2</c:v>
                </c:pt>
                <c:pt idx="4">
                  <c:v>2.0200000000000006E-2</c:v>
                </c:pt>
                <c:pt idx="5">
                  <c:v>2.8900000000000006E-2</c:v>
                </c:pt>
                <c:pt idx="6">
                  <c:v>5.400000000000002E-2</c:v>
                </c:pt>
              </c:numCache>
            </c:numRef>
          </c:val>
        </c:ser>
        <c:axId val="145766656"/>
        <c:axId val="145772544"/>
      </c:barChart>
      <c:catAx>
        <c:axId val="145766656"/>
        <c:scaling>
          <c:orientation val="minMax"/>
        </c:scaling>
        <c:axPos val="b"/>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772544"/>
        <c:crosses val="autoZero"/>
        <c:auto val="1"/>
        <c:lblAlgn val="ctr"/>
        <c:lblOffset val="100"/>
      </c:catAx>
      <c:valAx>
        <c:axId val="145772544"/>
        <c:scaling>
          <c:orientation val="minMax"/>
        </c:scaling>
        <c:axPos val="l"/>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766656"/>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endParaRPr lang="zh-CN"/>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[各学部升学出国率.xls]Sheet2!$C$12:$C$14</c:f>
              <c:strCache>
                <c:ptCount val="3"/>
                <c:pt idx="0">
                  <c:v>一致</c:v>
                </c:pt>
                <c:pt idx="1">
                  <c:v>相关/相近</c:v>
                </c:pt>
                <c:pt idx="2">
                  <c:v>相关度低</c:v>
                </c:pt>
              </c:strCache>
            </c:strRef>
          </c:cat>
          <c:val>
            <c:numRef>
              <c:f>[各学部升学出国率.xls]Sheet2!$D$12:$D$14</c:f>
              <c:numCache>
                <c:formatCode>0.00%</c:formatCode>
                <c:ptCount val="3"/>
                <c:pt idx="0">
                  <c:v>0.40570000000000001</c:v>
                </c:pt>
                <c:pt idx="1">
                  <c:v>0.48580000000000012</c:v>
                </c:pt>
                <c:pt idx="2">
                  <c:v>0.10850000000000003</c:v>
                </c:pt>
              </c:numCache>
            </c:numRef>
          </c:val>
        </c:ser>
        <c:firstSliceAng val="0"/>
      </c:pieChart>
      <c:spPr>
        <a:noFill/>
        <a:ln>
          <a:noFill/>
        </a:ln>
        <a:effectLst/>
      </c:spPr>
    </c:plotArea>
    <c:legend>
      <c:legendPos val="r"/>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endParaRPr lang="zh-CN"/>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[2017届毕业生升学的原因.xlsx]Sheet1!$A$2:$A$4</c:f>
              <c:strCache>
                <c:ptCount val="3"/>
                <c:pt idx="0">
                  <c:v>提高学历层次</c:v>
                </c:pt>
                <c:pt idx="1">
                  <c:v>专业深造</c:v>
                </c:pt>
                <c:pt idx="2">
                  <c:v>增加择业资本</c:v>
                </c:pt>
              </c:strCache>
            </c:strRef>
          </c:cat>
          <c:val>
            <c:numRef>
              <c:f>[2017届毕业生升学的原因.xlsx]Sheet1!$B$2:$B$4</c:f>
              <c:numCache>
                <c:formatCode>0.00%</c:formatCode>
                <c:ptCount val="3"/>
                <c:pt idx="0">
                  <c:v>0.45750000000000002</c:v>
                </c:pt>
                <c:pt idx="1">
                  <c:v>0.31130000000000013</c:v>
                </c:pt>
                <c:pt idx="2">
                  <c:v>0.14150000000000001</c:v>
                </c:pt>
              </c:numCache>
            </c:numRef>
          </c:val>
        </c:ser>
        <c:dLbls>
          <c:showVal val="1"/>
        </c:dLbls>
        <c:firstSliceAng val="0"/>
      </c:pieChart>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zero"/>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[各学部就业率表.xls]Sheet1!$A$3</c:f>
              <c:strCache>
                <c:ptCount val="1"/>
                <c:pt idx="0">
                  <c:v>未就业率</c:v>
                </c:pt>
              </c:strCache>
            </c:strRef>
          </c:tx>
          <c:spPr>
            <a:solidFill>
              <a:srgbClr val="4F81BD"/>
            </a:solidFill>
            <a:ln>
              <a:noFill/>
            </a:ln>
            <a:effectLst/>
          </c:spPr>
          <c:cat>
            <c:strRef>
              <c:f>[各学部就业率表.xls]Sheet1!$B$2:$H$2</c:f>
              <c:strCache>
                <c:ptCount val="7"/>
                <c:pt idx="0">
                  <c:v>人文学部</c:v>
                </c:pt>
                <c:pt idx="1">
                  <c:v>理学部</c:v>
                </c:pt>
                <c:pt idx="2">
                  <c:v>经济与管理学部</c:v>
                </c:pt>
                <c:pt idx="3">
                  <c:v>信息科学部</c:v>
                </c:pt>
                <c:pt idx="4">
                  <c:v>工程学部</c:v>
                </c:pt>
                <c:pt idx="5">
                  <c:v>医学部（四）</c:v>
                </c:pt>
                <c:pt idx="6">
                  <c:v>医学部（五）</c:v>
                </c:pt>
              </c:strCache>
            </c:strRef>
          </c:cat>
          <c:val>
            <c:numRef>
              <c:f>[各学部就业率表.xls]Sheet1!$B$3:$H$3</c:f>
              <c:numCache>
                <c:formatCode>General</c:formatCode>
                <c:ptCount val="7"/>
                <c:pt idx="0">
                  <c:v>0</c:v>
                </c:pt>
                <c:pt idx="1">
                  <c:v>0</c:v>
                </c:pt>
                <c:pt idx="2" formatCode="0.00%">
                  <c:v>8.3000000000000036E-3</c:v>
                </c:pt>
                <c:pt idx="3" formatCode="0.00%">
                  <c:v>4.1000000000000012E-3</c:v>
                </c:pt>
                <c:pt idx="4" formatCode="0_ ">
                  <c:v>0</c:v>
                </c:pt>
                <c:pt idx="5" formatCode="0.00%">
                  <c:v>4.1000000000000012E-3</c:v>
                </c:pt>
                <c:pt idx="6" formatCode="0.00%">
                  <c:v>8.8500000000000037E-2</c:v>
                </c:pt>
              </c:numCache>
            </c:numRef>
          </c:val>
        </c:ser>
        <c:gapWidth val="219"/>
        <c:overlap val="-27"/>
        <c:axId val="145886208"/>
        <c:axId val="145900288"/>
      </c:barChart>
      <c:catAx>
        <c:axId val="145886208"/>
        <c:scaling>
          <c:orientation val="minMax"/>
        </c:scaling>
        <c:axPos val="b"/>
        <c:majorTickMark val="in"/>
        <c:tickLblPos val="nextTo"/>
        <c:spPr>
          <a:noFill/>
          <a:ln w="9525" cap="flat" cmpd="sng" algn="ctr">
            <a:solidFill>
              <a:srgbClr val="D9D9D9">
                <a:lumMod val="15000"/>
                <a:lumOff val="85000"/>
              </a:srgb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900288"/>
        <c:crosses val="autoZero"/>
        <c:auto val="1"/>
        <c:lblAlgn val="ctr"/>
        <c:lblOffset val="100"/>
      </c:catAx>
      <c:valAx>
        <c:axId val="145900288"/>
        <c:scaling>
          <c:orientation val="minMax"/>
        </c:scaling>
        <c:axPos val="l"/>
        <c:numFmt formatCode="General" sourceLinked="1"/>
        <c:majorTickMark val="in"/>
        <c:tickLblPos val="nextTo"/>
        <c:spPr>
          <a:noFill/>
          <a:ln w="6350" cap="flat" cmpd="sng" algn="ctr">
            <a:no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886208"/>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[不同性别毕业生的毕业流向.xls]Sheet1!$B$4</c:f>
              <c:strCache>
                <c:ptCount val="1"/>
                <c:pt idx="0">
                  <c:v>女</c:v>
                </c:pt>
              </c:strCache>
            </c:strRef>
          </c:tx>
          <c:spPr>
            <a:solidFill>
              <a:srgbClr val="4F81BD"/>
            </a:solidFill>
            <a:ln>
              <a:noFill/>
            </a:ln>
            <a:effectLst/>
          </c:spPr>
          <c:cat>
            <c:strRef>
              <c:f>[不同性别毕业生的毕业流向.xls]Sheet1!$C$3:$F$3</c:f>
              <c:strCache>
                <c:ptCount val="4"/>
                <c:pt idx="0">
                  <c:v>单位就业率</c:v>
                </c:pt>
                <c:pt idx="1">
                  <c:v>升学出国率</c:v>
                </c:pt>
                <c:pt idx="2">
                  <c:v>灵活就业率</c:v>
                </c:pt>
                <c:pt idx="3">
                  <c:v>未就业率</c:v>
                </c:pt>
              </c:strCache>
            </c:strRef>
          </c:cat>
          <c:val>
            <c:numRef>
              <c:f>[不同性别毕业生的毕业流向.xls]Sheet1!$C$4:$F$4</c:f>
              <c:numCache>
                <c:formatCode>0.00%</c:formatCode>
                <c:ptCount val="4"/>
                <c:pt idx="0">
                  <c:v>0.88839999999999997</c:v>
                </c:pt>
                <c:pt idx="1">
                  <c:v>3.8100000000000009E-2</c:v>
                </c:pt>
                <c:pt idx="2">
                  <c:v>5.5800000000000009E-2</c:v>
                </c:pt>
                <c:pt idx="3">
                  <c:v>1.7700000000000007E-2</c:v>
                </c:pt>
              </c:numCache>
            </c:numRef>
          </c:val>
        </c:ser>
        <c:ser>
          <c:idx val="1"/>
          <c:order val="1"/>
          <c:tx>
            <c:strRef>
              <c:f>[不同性别毕业生的毕业流向.xls]Sheet1!$B$5</c:f>
              <c:strCache>
                <c:ptCount val="1"/>
                <c:pt idx="0">
                  <c:v>男</c:v>
                </c:pt>
              </c:strCache>
            </c:strRef>
          </c:tx>
          <c:spPr>
            <a:solidFill>
              <a:srgbClr val="C0504D"/>
            </a:solidFill>
            <a:ln>
              <a:noFill/>
            </a:ln>
            <a:effectLst/>
          </c:spPr>
          <c:cat>
            <c:strRef>
              <c:f>[不同性别毕业生的毕业流向.xls]Sheet1!$C$3:$F$3</c:f>
              <c:strCache>
                <c:ptCount val="4"/>
                <c:pt idx="0">
                  <c:v>单位就业率</c:v>
                </c:pt>
                <c:pt idx="1">
                  <c:v>升学出国率</c:v>
                </c:pt>
                <c:pt idx="2">
                  <c:v>灵活就业率</c:v>
                </c:pt>
                <c:pt idx="3">
                  <c:v>未就业率</c:v>
                </c:pt>
              </c:strCache>
            </c:strRef>
          </c:cat>
          <c:val>
            <c:numRef>
              <c:f>[不同性别毕业生的毕业流向.xls]Sheet1!$C$5:$F$5</c:f>
              <c:numCache>
                <c:formatCode>0.00%</c:formatCode>
                <c:ptCount val="4"/>
                <c:pt idx="0">
                  <c:v>0.87640000000000018</c:v>
                </c:pt>
                <c:pt idx="1">
                  <c:v>5.1600000000000007E-2</c:v>
                </c:pt>
                <c:pt idx="2">
                  <c:v>4.480000000000002E-2</c:v>
                </c:pt>
                <c:pt idx="3">
                  <c:v>2.7200000000000009E-2</c:v>
                </c:pt>
              </c:numCache>
            </c:numRef>
          </c:val>
        </c:ser>
        <c:axId val="145934976"/>
        <c:axId val="145944960"/>
      </c:barChart>
      <c:catAx>
        <c:axId val="145934976"/>
        <c:scaling>
          <c:orientation val="minMax"/>
        </c:scaling>
        <c:axPos val="b"/>
        <c:majorTickMark val="none"/>
        <c:tickLblPos val="nextTo"/>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944960"/>
        <c:crosses val="autoZero"/>
        <c:auto val="1"/>
        <c:lblAlgn val="ctr"/>
        <c:lblOffset val="100"/>
      </c:catAx>
      <c:valAx>
        <c:axId val="145944960"/>
        <c:scaling>
          <c:orientation val="minMax"/>
        </c:scaling>
        <c:axPos val="l"/>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934976"/>
        <c:crosses val="autoZero"/>
        <c:crossBetween val="between"/>
      </c:valAx>
      <c:dTable>
        <c:showHorzBorder val="1"/>
        <c:showVertBorder val="1"/>
        <c:showOutline val="1"/>
        <c:showKeys val="1"/>
        <c:spPr>
          <a:no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dTable>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rot="0" spcFirstLastPara="0" vertOverflow="ellipsis" horzOverflow="overflow" vert="horz" wrap="square" anchor="ctr" anchorCtr="1"/>
    <a:lstStyle/>
    <a:p>
      <a:pPr>
        <a:defRPr lang="zh-CN" sz="1000" kern="1200">
          <a:solidFill>
            <a:srgbClr val="000000"/>
          </a:solidFill>
          <a:latin typeface="+mn-lt"/>
          <a:ea typeface="+mn-ea"/>
          <a:cs typeface="+mn-cs"/>
        </a:defRPr>
      </a:pPr>
      <a:endParaRPr lang="zh-CN"/>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bar"/>
        <c:grouping val="clustered"/>
        <c:ser>
          <c:idx val="0"/>
          <c:order val="0"/>
          <c:spPr>
            <a:solidFill>
              <a:srgbClr val="4F81BD"/>
            </a:solidFill>
            <a:ln>
              <a:noFill/>
            </a:ln>
            <a:effectLst/>
          </c:spPr>
          <c:cat>
            <c:strRef>
              <c:f>[各学部单位就业率.xls]Sheet2!$C$3:$C$9</c:f>
              <c:strCache>
                <c:ptCount val="7"/>
                <c:pt idx="0">
                  <c:v>机关、中初等教育</c:v>
                </c:pt>
                <c:pt idx="1">
                  <c:v>非营利组织</c:v>
                </c:pt>
                <c:pt idx="2">
                  <c:v>国家、地方基层组织</c:v>
                </c:pt>
                <c:pt idx="3">
                  <c:v>医疗卫生单位</c:v>
                </c:pt>
                <c:pt idx="4">
                  <c:v>港澳台及外资企业</c:v>
                </c:pt>
                <c:pt idx="5">
                  <c:v>民营企业</c:v>
                </c:pt>
                <c:pt idx="6">
                  <c:v>国有及集团企业</c:v>
                </c:pt>
              </c:strCache>
            </c:strRef>
          </c:cat>
          <c:val>
            <c:numRef>
              <c:f>[各学部单位就业率.xls]Sheet2!$D$3:$D$9</c:f>
              <c:numCache>
                <c:formatCode>0.00%</c:formatCode>
                <c:ptCount val="7"/>
                <c:pt idx="0">
                  <c:v>6.7720090293453732E-3</c:v>
                </c:pt>
                <c:pt idx="1">
                  <c:v>9.0293453724605028E-3</c:v>
                </c:pt>
                <c:pt idx="2">
                  <c:v>6.7720090293453732E-3</c:v>
                </c:pt>
                <c:pt idx="3">
                  <c:v>0.28781038374717821</c:v>
                </c:pt>
                <c:pt idx="4">
                  <c:v>1.2415349887133199E-2</c:v>
                </c:pt>
                <c:pt idx="5">
                  <c:v>0.61568848758465022</c:v>
                </c:pt>
                <c:pt idx="6">
                  <c:v>6.7720090293453732E-3</c:v>
                </c:pt>
              </c:numCache>
            </c:numRef>
          </c:val>
        </c:ser>
        <c:gapWidth val="182"/>
        <c:axId val="145958016"/>
        <c:axId val="145959552"/>
      </c:barChart>
      <c:catAx>
        <c:axId val="145958016"/>
        <c:scaling>
          <c:orientation val="minMax"/>
        </c:scaling>
        <c:axPos val="l"/>
        <c:maj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959552"/>
        <c:crosses val="autoZero"/>
        <c:auto val="1"/>
        <c:lblAlgn val="ctr"/>
        <c:lblOffset val="100"/>
      </c:catAx>
      <c:valAx>
        <c:axId val="145959552"/>
        <c:scaling>
          <c:orientation val="minMax"/>
        </c:scaling>
        <c:axPos val="b"/>
        <c:majorGridlines>
          <c:spPr>
            <a:ln w="9525" cap="flat" cmpd="sng" algn="ctr">
              <a:solidFill>
                <a:srgbClr val="D9D9D9">
                  <a:lumMod val="15000"/>
                  <a:lumOff val="85000"/>
                </a:srgbClr>
              </a:solidFill>
              <a:round/>
            </a:ln>
            <a:effectLst/>
          </c:spPr>
        </c:majorGridlines>
        <c:numFmt formatCode="0.00%"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5958016"/>
        <c:crosses val="autoZero"/>
        <c:crossBetween val="between"/>
      </c:valAx>
      <c:spPr>
        <a:noFill/>
        <a:ln>
          <a:noFill/>
        </a:ln>
        <a:effectLst/>
      </c:spPr>
    </c:plotArea>
    <c:plotVisOnly val="1"/>
    <c:dispBlanksAs val="gap"/>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0.37051329622758211"/>
          <c:y val="5.6806002143622719E-2"/>
          <c:w val="0.58755720470006156"/>
          <c:h val="0.84917470525187622"/>
        </c:manualLayout>
      </c:layout>
      <c:barChart>
        <c:barDir val="bar"/>
        <c:grouping val="clustered"/>
        <c:ser>
          <c:idx val="0"/>
          <c:order val="0"/>
          <c:spPr>
            <a:solidFill>
              <a:srgbClr val="4F81BD"/>
            </a:solidFill>
            <a:ln>
              <a:noFill/>
            </a:ln>
            <a:effectLst/>
          </c:spP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[行业分布图.xls]Sheet2!$B$4:$B$23</c:f>
              <c:strCache>
                <c:ptCount val="20"/>
                <c:pt idx="0">
                  <c:v>农、林、牧、渔业</c:v>
                </c:pt>
                <c:pt idx="1">
                  <c:v>采矿业</c:v>
                </c:pt>
                <c:pt idx="2">
                  <c:v>制造业</c:v>
                </c:pt>
                <c:pt idx="3">
                  <c:v>电力、热力、燃气及水生产和供应业</c:v>
                </c:pt>
                <c:pt idx="4">
                  <c:v>建筑业</c:v>
                </c:pt>
                <c:pt idx="5">
                  <c:v>批发和零售业</c:v>
                </c:pt>
                <c:pt idx="6">
                  <c:v>交通运输、仓储和邮政业</c:v>
                </c:pt>
                <c:pt idx="7">
                  <c:v>住宿和餐饮业</c:v>
                </c:pt>
                <c:pt idx="8">
                  <c:v>信息传输、软件和信息技术服务业</c:v>
                </c:pt>
                <c:pt idx="9">
                  <c:v>金融业</c:v>
                </c:pt>
                <c:pt idx="10">
                  <c:v>房地产业</c:v>
                </c:pt>
                <c:pt idx="11">
                  <c:v>租赁和商务服务业</c:v>
                </c:pt>
                <c:pt idx="12">
                  <c:v>科学研究和技术服务业</c:v>
                </c:pt>
                <c:pt idx="13">
                  <c:v>水利、环境和公共设施管理业</c:v>
                </c:pt>
                <c:pt idx="14">
                  <c:v>居民服务、修理和其他服务业</c:v>
                </c:pt>
                <c:pt idx="15">
                  <c:v>教育</c:v>
                </c:pt>
                <c:pt idx="16">
                  <c:v>卫生和社会工作</c:v>
                </c:pt>
                <c:pt idx="17">
                  <c:v>文化、体育和娱乐业</c:v>
                </c:pt>
                <c:pt idx="18">
                  <c:v>公共管理、社会保障和社会组织</c:v>
                </c:pt>
                <c:pt idx="19">
                  <c:v>军队</c:v>
                </c:pt>
              </c:strCache>
            </c:strRef>
          </c:cat>
          <c:val>
            <c:numRef>
              <c:f>[行业分布图.xls]Sheet2!$C$4:$C$23</c:f>
              <c:numCache>
                <c:formatCode>0.00%</c:formatCode>
                <c:ptCount val="20"/>
                <c:pt idx="0">
                  <c:v>7.1216617210682533E-3</c:v>
                </c:pt>
                <c:pt idx="1">
                  <c:v>5.9347181008902118E-4</c:v>
                </c:pt>
                <c:pt idx="2">
                  <c:v>0.19881305637982205</c:v>
                </c:pt>
                <c:pt idx="3">
                  <c:v>7.1216617210682533E-3</c:v>
                </c:pt>
                <c:pt idx="4">
                  <c:v>4.3916913946587519E-2</c:v>
                </c:pt>
                <c:pt idx="5">
                  <c:v>7.5964391691394684E-2</c:v>
                </c:pt>
                <c:pt idx="6">
                  <c:v>1.2462908011869403E-2</c:v>
                </c:pt>
                <c:pt idx="7">
                  <c:v>6.5281899109792324E-3</c:v>
                </c:pt>
                <c:pt idx="8">
                  <c:v>0.10029673590504504</c:v>
                </c:pt>
                <c:pt idx="9">
                  <c:v>1.3649851632047506E-2</c:v>
                </c:pt>
                <c:pt idx="10">
                  <c:v>1.0682492581602402E-2</c:v>
                </c:pt>
                <c:pt idx="11">
                  <c:v>2.5519287833827901E-2</c:v>
                </c:pt>
                <c:pt idx="12">
                  <c:v>2.2551928783382805E-2</c:v>
                </c:pt>
                <c:pt idx="13">
                  <c:v>4.1543026706231502E-3</c:v>
                </c:pt>
                <c:pt idx="14">
                  <c:v>4.2729970326409503E-2</c:v>
                </c:pt>
                <c:pt idx="15">
                  <c:v>3.6201780415430304E-2</c:v>
                </c:pt>
                <c:pt idx="16">
                  <c:v>0.340059347181009</c:v>
                </c:pt>
                <c:pt idx="17">
                  <c:v>3.5608308605341227E-2</c:v>
                </c:pt>
                <c:pt idx="18">
                  <c:v>1.5430267062314502E-2</c:v>
                </c:pt>
                <c:pt idx="19">
                  <c:v>5.9347181008902118E-4</c:v>
                </c:pt>
              </c:numCache>
            </c:numRef>
          </c:val>
        </c:ser>
        <c:gapWidth val="182"/>
        <c:axId val="146007936"/>
        <c:axId val="146009472"/>
      </c:barChart>
      <c:catAx>
        <c:axId val="146007936"/>
        <c:scaling>
          <c:orientation val="minMax"/>
        </c:scaling>
        <c:axPos val="l"/>
        <c:maj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6009472"/>
        <c:crosses val="autoZero"/>
        <c:auto val="1"/>
        <c:lblAlgn val="ctr"/>
        <c:lblOffset val="100"/>
      </c:catAx>
      <c:valAx>
        <c:axId val="146009472"/>
        <c:scaling>
          <c:orientation val="minMax"/>
        </c:scaling>
        <c:axPos val="b"/>
        <c:majorGridlines>
          <c:spPr>
            <a:ln w="9525" cap="flat" cmpd="sng" algn="ctr">
              <a:solidFill>
                <a:srgbClr val="D9D9D9">
                  <a:lumMod val="15000"/>
                  <a:lumOff val="85000"/>
                </a:srgbClr>
              </a:solidFill>
              <a:prstDash val="solid"/>
              <a:round/>
            </a:ln>
            <a:effectLst/>
          </c:spPr>
        </c:majorGridlines>
        <c:numFmt formatCode="0.00%" sourceLinked="1"/>
        <c:maj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6007936"/>
        <c:crosses val="autoZero"/>
        <c:crossBetween val="between"/>
      </c:valAx>
      <c:spPr>
        <a:noFill/>
        <a:ln>
          <a:noFill/>
        </a:ln>
        <a:effectLst/>
      </c:spPr>
    </c:plotArea>
    <c:plotVisOnly val="1"/>
    <c:dispBlanksAs val="gap"/>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endParaRPr lang="zh-CN"/>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1400" b="0" i="0" u="none" strike="noStrike" kern="1200" spc="0" baseline="0">
                <a:solidFill>
                  <a:srgbClr val="595959">
                    <a:lumMod val="65000"/>
                    <a:lumOff val="35000"/>
                  </a:srgbClr>
                </a:solidFill>
                <a:latin typeface="+mn-lt"/>
                <a:ea typeface="+mn-ea"/>
                <a:cs typeface="+mn-cs"/>
              </a:defRPr>
            </a:pPr>
            <a:r>
              <a:t>杏林学院近三年就业率</a:t>
            </a:r>
          </a:p>
        </c:rich>
      </c:tx>
      <c:spPr>
        <a:noFill/>
        <a:ln>
          <a:noFill/>
        </a:ln>
        <a:effectLst/>
      </c:spPr>
    </c:title>
    <c:plotArea>
      <c:layout/>
      <c:lineChart>
        <c:grouping val="standard"/>
        <c:ser>
          <c:idx val="0"/>
          <c:order val="0"/>
          <c:tx>
            <c:strRef>
              <c:f>[各学部就业率表.xls]Sheet2!$B$3</c:f>
              <c:strCache>
                <c:ptCount val="1"/>
                <c:pt idx="0">
                  <c:v>初次就业率</c:v>
                </c:pt>
              </c:strCache>
            </c:strRef>
          </c:tx>
          <c:spPr>
            <a:ln w="28575" cap="rnd">
              <a:solidFill>
                <a:srgbClr val="4F81BD"/>
              </a:solidFill>
              <a:round/>
            </a:ln>
            <a:effectLst/>
          </c:spPr>
          <c:marker>
            <c:symbol val="circle"/>
            <c:size val="5"/>
            <c:spPr>
              <a:solidFill>
                <a:srgbClr val="4F81BD"/>
              </a:solidFill>
              <a:ln w="9525">
                <a:solidFill>
                  <a:srgbClr val="4F81BD"/>
                </a:solidFill>
              </a:ln>
              <a:effectLst/>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t"/>
            <c:showVal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[各学部就业率表.xls]Sheet2!$C$2:$E$2</c:f>
              <c:strCache>
                <c:ptCount val="3"/>
                <c:pt idx="0">
                  <c:v>2015年</c:v>
                </c:pt>
                <c:pt idx="1">
                  <c:v>2016年</c:v>
                </c:pt>
                <c:pt idx="2">
                  <c:v>2017年</c:v>
                </c:pt>
              </c:strCache>
            </c:strRef>
          </c:cat>
          <c:val>
            <c:numRef>
              <c:f>[各学部就业率表.xls]Sheet2!$C$3:$E$3</c:f>
              <c:numCache>
                <c:formatCode>0.00%</c:formatCode>
                <c:ptCount val="3"/>
                <c:pt idx="0">
                  <c:v>0.87850000000000017</c:v>
                </c:pt>
                <c:pt idx="1">
                  <c:v>0.88190000000000002</c:v>
                </c:pt>
                <c:pt idx="2">
                  <c:v>0.85260000000000025</c:v>
                </c:pt>
              </c:numCache>
            </c:numRef>
          </c:val>
        </c:ser>
        <c:ser>
          <c:idx val="1"/>
          <c:order val="1"/>
          <c:tx>
            <c:strRef>
              <c:f>[各学部就业率表.xls]Sheet2!$B$4</c:f>
              <c:strCache>
                <c:ptCount val="1"/>
                <c:pt idx="0">
                  <c:v>年终就业率</c:v>
                </c:pt>
              </c:strCache>
            </c:strRef>
          </c:tx>
          <c:spPr>
            <a:ln w="28575" cap="rnd">
              <a:solidFill>
                <a:srgbClr val="C0504D"/>
              </a:solidFill>
              <a:round/>
            </a:ln>
            <a:effectLst/>
          </c:spPr>
          <c:marker>
            <c:symbol val="circle"/>
            <c:size val="5"/>
            <c:spPr>
              <a:solidFill>
                <a:srgbClr val="C0504D"/>
              </a:solidFill>
              <a:ln w="9525">
                <a:solidFill>
                  <a:srgbClr val="C0504D"/>
                </a:solidFill>
              </a:ln>
              <a:effectLst/>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t"/>
            <c:showVal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[各学部就业率表.xls]Sheet2!$C$2:$E$2</c:f>
              <c:strCache>
                <c:ptCount val="3"/>
                <c:pt idx="0">
                  <c:v>2015年</c:v>
                </c:pt>
                <c:pt idx="1">
                  <c:v>2016年</c:v>
                </c:pt>
                <c:pt idx="2">
                  <c:v>2017年</c:v>
                </c:pt>
              </c:strCache>
            </c:strRef>
          </c:cat>
          <c:val>
            <c:numRef>
              <c:f>[各学部就业率表.xls]Sheet2!$C$4:$E$4</c:f>
              <c:numCache>
                <c:formatCode>0.00%</c:formatCode>
                <c:ptCount val="3"/>
                <c:pt idx="0">
                  <c:v>0.97920000000000018</c:v>
                </c:pt>
                <c:pt idx="1">
                  <c:v>0.98060000000000003</c:v>
                </c:pt>
                <c:pt idx="2">
                  <c:v>0.97790000000000021</c:v>
                </c:pt>
              </c:numCache>
            </c:numRef>
          </c:val>
        </c:ser>
        <c:ser>
          <c:idx val="2"/>
          <c:order val="2"/>
          <c:tx>
            <c:strRef>
              <c:f>[各学部就业率表.xls]Sheet2!$B$5</c:f>
              <c:strCache>
                <c:ptCount val="1"/>
                <c:pt idx="0">
                  <c:v>总协议率</c:v>
                </c:pt>
              </c:strCache>
            </c:strRef>
          </c:tx>
          <c:spPr>
            <a:ln w="28575" cap="rnd">
              <a:solidFill>
                <a:srgbClr val="9BBB59"/>
              </a:solidFill>
              <a:round/>
            </a:ln>
            <a:effectLst/>
          </c:spPr>
          <c:marker>
            <c:symbol val="circle"/>
            <c:size val="5"/>
            <c:spPr>
              <a:solidFill>
                <a:srgbClr val="9BBB59"/>
              </a:solidFill>
              <a:ln w="9525">
                <a:solidFill>
                  <a:srgbClr val="9BBB59"/>
                </a:solidFill>
              </a:ln>
              <a:effectLst/>
            </c:spPr>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t"/>
            <c:showVal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[各学部就业率表.xls]Sheet2!$C$2:$E$2</c:f>
              <c:strCache>
                <c:ptCount val="3"/>
                <c:pt idx="0">
                  <c:v>2015年</c:v>
                </c:pt>
                <c:pt idx="1">
                  <c:v>2016年</c:v>
                </c:pt>
                <c:pt idx="2">
                  <c:v>2017年</c:v>
                </c:pt>
              </c:strCache>
            </c:strRef>
          </c:cat>
          <c:val>
            <c:numRef>
              <c:f>[各学部就业率表.xls]Sheet2!$C$5:$E$5</c:f>
              <c:numCache>
                <c:formatCode>0.00%</c:formatCode>
                <c:ptCount val="3"/>
                <c:pt idx="0">
                  <c:v>0.95340000000000003</c:v>
                </c:pt>
                <c:pt idx="1">
                  <c:v>0.95520000000000005</c:v>
                </c:pt>
                <c:pt idx="2">
                  <c:v>0.92600000000000005</c:v>
                </c:pt>
              </c:numCache>
            </c:numRef>
          </c:val>
        </c:ser>
        <c:dLbls>
          <c:showVal val="1"/>
        </c:dLbls>
        <c:marker val="1"/>
        <c:axId val="146056320"/>
        <c:axId val="146057856"/>
      </c:lineChart>
      <c:catAx>
        <c:axId val="146056320"/>
        <c:scaling>
          <c:orientation val="minMax"/>
        </c:scaling>
        <c:axPos val="b"/>
        <c:maj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6057856"/>
        <c:crosses val="autoZero"/>
        <c:auto val="1"/>
        <c:lblAlgn val="ctr"/>
        <c:lblOffset val="100"/>
      </c:catAx>
      <c:valAx>
        <c:axId val="146057856"/>
        <c:scaling>
          <c:orientation val="minMax"/>
        </c:scaling>
        <c:axPos val="l"/>
        <c:majorGridlines>
          <c:spPr>
            <a:ln w="9525" cap="flat" cmpd="sng" algn="ctr">
              <a:solidFill>
                <a:srgbClr val="D9D9D9">
                  <a:lumMod val="15000"/>
                  <a:lumOff val="85000"/>
                </a:srgbClr>
              </a:solidFill>
              <a:round/>
            </a:ln>
            <a:effectLst/>
          </c:spPr>
        </c:majorGridlines>
        <c:numFmt formatCode="0.00%"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6056320"/>
        <c:crosses val="autoZero"/>
        <c:crossBetween val="between"/>
      </c:valAx>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gap"/>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[各学部单位就业率.xls]Sheet3!$B$3</c:f>
              <c:strCache>
                <c:ptCount val="1"/>
                <c:pt idx="0">
                  <c:v>协议就业率</c:v>
                </c:pt>
              </c:strCache>
            </c:strRef>
          </c:tx>
          <c:spPr>
            <a:solidFill>
              <a:srgbClr val="4F81BD"/>
            </a:solidFill>
            <a:ln>
              <a:noFill/>
            </a:ln>
            <a:effectLst/>
          </c:spP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[各学部单位就业率.xls]Sheet3!$C$2:$E$2</c:f>
              <c:strCache>
                <c:ptCount val="3"/>
                <c:pt idx="0">
                  <c:v>2015届</c:v>
                </c:pt>
                <c:pt idx="1">
                  <c:v>2016届</c:v>
                </c:pt>
                <c:pt idx="2">
                  <c:v>2017届</c:v>
                </c:pt>
              </c:strCache>
            </c:strRef>
          </c:cat>
          <c:val>
            <c:numRef>
              <c:f>[各学部单位就业率.xls]Sheet3!$C$3:$E$3</c:f>
              <c:numCache>
                <c:formatCode>0.00%</c:formatCode>
                <c:ptCount val="3"/>
                <c:pt idx="0">
                  <c:v>0.91539999999999999</c:v>
                </c:pt>
                <c:pt idx="1">
                  <c:v>0.91910000000000003</c:v>
                </c:pt>
                <c:pt idx="2">
                  <c:v>0.88239999999999996</c:v>
                </c:pt>
              </c:numCache>
            </c:numRef>
          </c:val>
        </c:ser>
        <c:ser>
          <c:idx val="1"/>
          <c:order val="1"/>
          <c:tx>
            <c:strRef>
              <c:f>[各学部单位就业率.xls]Sheet3!$B$4</c:f>
              <c:strCache>
                <c:ptCount val="1"/>
                <c:pt idx="0">
                  <c:v>升学出国率</c:v>
                </c:pt>
              </c:strCache>
            </c:strRef>
          </c:tx>
          <c:spPr>
            <a:solidFill>
              <a:srgbClr val="C0504D"/>
            </a:solidFill>
            <a:ln>
              <a:noFill/>
            </a:ln>
            <a:effectLst/>
          </c:spP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[各学部单位就业率.xls]Sheet3!$C$2:$E$2</c:f>
              <c:strCache>
                <c:ptCount val="3"/>
                <c:pt idx="0">
                  <c:v>2015届</c:v>
                </c:pt>
                <c:pt idx="1">
                  <c:v>2016届</c:v>
                </c:pt>
                <c:pt idx="2">
                  <c:v>2017届</c:v>
                </c:pt>
              </c:strCache>
            </c:strRef>
          </c:cat>
          <c:val>
            <c:numRef>
              <c:f>[各学部单位就业率.xls]Sheet3!$C$4:$E$4</c:f>
              <c:numCache>
                <c:formatCode>0.00%</c:formatCode>
                <c:ptCount val="3"/>
                <c:pt idx="0">
                  <c:v>3.8000000000000006E-2</c:v>
                </c:pt>
                <c:pt idx="1">
                  <c:v>3.6100000000000014E-2</c:v>
                </c:pt>
                <c:pt idx="2">
                  <c:v>4.3600000000000007E-2</c:v>
                </c:pt>
              </c:numCache>
            </c:numRef>
          </c:val>
        </c:ser>
        <c:ser>
          <c:idx val="2"/>
          <c:order val="2"/>
          <c:tx>
            <c:strRef>
              <c:f>[各学部单位就业率.xls]Sheet3!$B$5</c:f>
              <c:strCache>
                <c:ptCount val="1"/>
                <c:pt idx="0">
                  <c:v>灵活就业率</c:v>
                </c:pt>
              </c:strCache>
            </c:strRef>
          </c:tx>
          <c:spPr>
            <a:solidFill>
              <a:srgbClr val="9BBB59"/>
            </a:solidFill>
            <a:ln>
              <a:noFill/>
            </a:ln>
            <a:effectLst/>
          </c:spP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mn-lt"/>
                    <a:ea typeface="+mn-ea"/>
                    <a:cs typeface="+mn-cs"/>
                  </a:defRPr>
                </a:pPr>
                <a:endParaRPr lang="zh-CN"/>
              </a:p>
            </c:txPr>
            <c:dLblPos val="outEnd"/>
            <c:showVal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[各学部单位就业率.xls]Sheet3!$C$2:$E$2</c:f>
              <c:strCache>
                <c:ptCount val="3"/>
                <c:pt idx="0">
                  <c:v>2015届</c:v>
                </c:pt>
                <c:pt idx="1">
                  <c:v>2016届</c:v>
                </c:pt>
                <c:pt idx="2">
                  <c:v>2017届</c:v>
                </c:pt>
              </c:strCache>
            </c:strRef>
          </c:cat>
          <c:val>
            <c:numRef>
              <c:f>[各学部单位就业率.xls]Sheet3!$C$5:$E$5</c:f>
              <c:numCache>
                <c:formatCode>0.00%</c:formatCode>
                <c:ptCount val="3"/>
                <c:pt idx="0">
                  <c:v>2.5800000000000007E-2</c:v>
                </c:pt>
                <c:pt idx="1">
                  <c:v>2.5400000000000006E-2</c:v>
                </c:pt>
                <c:pt idx="2">
                  <c:v>5.1900000000000002E-2</c:v>
                </c:pt>
              </c:numCache>
            </c:numRef>
          </c:val>
        </c:ser>
        <c:dLbls>
          <c:showVal val="1"/>
        </c:dLbls>
        <c:gapWidth val="219"/>
        <c:overlap val="-27"/>
        <c:axId val="146109568"/>
        <c:axId val="146111104"/>
      </c:barChart>
      <c:catAx>
        <c:axId val="146109568"/>
        <c:scaling>
          <c:orientation val="minMax"/>
        </c:scaling>
        <c:axPos val="b"/>
        <c:maj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6111104"/>
        <c:crosses val="autoZero"/>
        <c:auto val="1"/>
        <c:lblAlgn val="ctr"/>
        <c:lblOffset val="100"/>
      </c:catAx>
      <c:valAx>
        <c:axId val="146111104"/>
        <c:scaling>
          <c:orientation val="minMax"/>
        </c:scaling>
        <c:axPos val="l"/>
        <c:majorGridlines>
          <c:spPr>
            <a:ln w="9525" cap="flat" cmpd="sng" algn="ctr">
              <a:solidFill>
                <a:srgbClr val="D9D9D9">
                  <a:lumMod val="15000"/>
                  <a:lumOff val="85000"/>
                </a:srgbClr>
              </a:solidFill>
              <a:round/>
            </a:ln>
            <a:effectLst/>
          </c:spPr>
        </c:majorGridlines>
        <c:numFmt formatCode="0.00%" sourceLinked="1"/>
        <c:maj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146109568"/>
        <c:crosses val="autoZero"/>
        <c:crossBetween val="between"/>
      </c:valAx>
      <c:spPr>
        <a:noFill/>
        <a:ln>
          <a:noFill/>
        </a:ln>
        <a:effectLst/>
      </c:spPr>
    </c:plotArea>
    <c:legend>
      <c:legendPos val="b"/>
      <c:spPr>
        <a:noFill/>
        <a:ln>
          <a:noFill/>
        </a:ln>
        <a:effectLst/>
      </c:spPr>
      <c:txPr>
        <a:bodyPr rot="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gap"/>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2304</Words>
  <Characters>13133</Characters>
  <Application>Microsoft Office Word</Application>
  <DocSecurity>0</DocSecurity>
  <PresentationFormat/>
  <Lines>109</Lines>
  <Paragraphs>30</Paragraphs>
  <Slides>0</Slides>
  <Notes>0</Notes>
  <HiddenSlides>0</HiddenSlides>
  <MMClips>0</MMClips>
  <ScaleCrop>false</ScaleCrop>
  <Company>微软中国</Company>
  <LinksUpToDate>false</LinksUpToDate>
  <CharactersWithSpaces>15407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南通大学杏林学院2014届毕业生就业质量年度报告</dc:title>
  <dc:creator>系统管理员</dc:creator>
  <cp:lastModifiedBy>微软用户</cp:lastModifiedBy>
  <cp:revision>2</cp:revision>
  <cp:lastPrinted>2018-01-11T07:43:00Z</cp:lastPrinted>
  <dcterms:created xsi:type="dcterms:W3CDTF">2018-09-20T12:22:00Z</dcterms:created>
  <dcterms:modified xsi:type="dcterms:W3CDTF">2018-09-20T12:22:00Z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